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distribute"/>
        <w:rPr>
          <w:rFonts w:hint="eastAsia" w:eastAsia="方正小标宋简体" w:cs="方正小标宋简体"/>
          <w:color w:val="FF0000"/>
          <w:w w:val="80"/>
          <w:sz w:val="104"/>
          <w:szCs w:val="104"/>
        </w:rPr>
      </w:pPr>
      <w:r>
        <w:rPr>
          <w:rFonts w:hint="eastAsia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958215</wp:posOffset>
                </wp:positionV>
                <wp:extent cx="5854700" cy="1270"/>
                <wp:effectExtent l="0" t="28575" r="12700" b="4635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12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9pt;margin-top:75.45pt;height:0.1pt;width:461pt;z-index:251659264;mso-width-relative:page;mso-height-relative:page;" filled="f" stroked="t" coordsize="21600,21600" o:gfxdata="UEsDBAoAAAAAAIdO4kAAAAAAAAAAAAAAAAAEAAAAZHJzL1BLAwQUAAAACACHTuJA3xDeh9YAAAAL&#10;AQAADwAAAGRycy9kb3ducmV2LnhtbE2PwW7CMBBE75X6D9Yi9QZ20tJCiMOhUs8t0EOPJl6SiHgd&#10;2Q6Bv+9yao87M5p9U26vrhcXDLHzpCFbKBBItbcdNRq+Dx/zFYiYDFnTe0INN4ywrR4fSlNYP9EO&#10;L/vUCC6hWBgNbUpDIWWsW3QmLvyAxN7JB2cSn6GRNpiJy10vc6VepTMd8YfWDPjeYn3ej07Dz1sg&#10;P+0+T1/PI91iPpwP+VJp/TTL1AZEwmv6C8Mdn9GhYqajH8lG0WuYZyvekthYqjUITqzVCyvHu5Jl&#10;IKtS/t9Q/QJQSwMEFAAAAAgAh07iQIncHNfPAQAAowMAAA4AAABkcnMvZTJvRG9jLnhtbK1TTY/T&#10;MBC9I/EfLN9pkmpLV1HTPWwplxVUYvkBU3uSWPhLtrdp/z1jN5QFLgiRgzP2jN/MvHnePJyNZicM&#10;UTnb8WZRc4ZWOKns0PGvz/t395zFBFaCdhY7fsHIH7Zv32wm3+LSjU5LDIxAbGwn3/ExJd9WVRQj&#10;GogL59GSs3fBQKJtGCoZYCJ0o6tlXb+vJhekD05gjHS6uzr5tuD3PYr0ue8jJqY7TrWlsoayHvNa&#10;bTfQDgH8qMRcBvxDFQaUpaQ3qB0kYC9B/QFllAguuj4thDOV63slsPRA3TT1b918GcFj6YXIif5G&#10;U/x/sOLT6RCYkjQ7ziwYGtGTssjuMjOTjy0FPNpDmHfRH0Ju89wHk//UADsXNi83NvGcmKDD1f3q&#10;bl0T6YJ8zXJdyK5+3vUhpo/oDMtGxzWlLRTC6SkmykehP0JyKm3ZRKDrZpUhgbTSa0hkGk/VJ5rf&#10;t+dxnkJ0Wsm90jpfjGE4PurATkAa2O9r+nJzBP9LWM61gzhe44rrqo4RQX6wkqWLJ3YsyZjnSgxK&#10;zjSS6rNFgNAmUPpvIim1tvkCFoXO7Wa2r/xm6+jkhSbz4oMaRqKnKTVnDymhVD+rNkvt9Z7s129r&#10;+x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EN6H1gAAAAsBAAAPAAAAAAAAAAEAIAAAACIAAABk&#10;cnMvZG93bnJldi54bWxQSwECFAAUAAAACACHTuJAidwc188BAACjAwAADgAAAAAAAAABACAAAAAl&#10;AQAAZHJzL2Uyb0RvYy54bWxQSwUGAAAAAAYABgBZAQAAZ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 w:cs="方正小标宋简体"/>
          <w:color w:val="FF0000"/>
          <w:w w:val="80"/>
          <w:sz w:val="104"/>
          <w:szCs w:val="104"/>
        </w:rPr>
        <w:t>湖南省教育厅</w:t>
      </w:r>
    </w:p>
    <w:p>
      <w:pPr>
        <w:spacing w:line="62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20" w:lineRule="exact"/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湘教通〔2017〕</w:t>
      </w:r>
      <w:r>
        <w:rPr>
          <w:rFonts w:hint="eastAsia" w:eastAsia="仿宋_GB2312"/>
          <w:sz w:val="32"/>
          <w:szCs w:val="32"/>
          <w:lang w:val="en-US" w:eastAsia="zh-CN"/>
        </w:rPr>
        <w:t>58</w:t>
      </w:r>
      <w:r>
        <w:rPr>
          <w:rFonts w:hint="eastAsia" w:eastAsia="仿宋_GB2312"/>
          <w:sz w:val="32"/>
          <w:szCs w:val="32"/>
          <w:lang w:eastAsia="zh-CN"/>
        </w:rPr>
        <w:t>号</w:t>
      </w:r>
    </w:p>
    <w:p>
      <w:pPr>
        <w:spacing w:line="62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关于开展湖南省2016—2017年度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“一师一优课、一课一名师”活动的通知</w:t>
      </w:r>
    </w:p>
    <w:p>
      <w:pPr>
        <w:spacing w:line="62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2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各市州教育（体）局：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根据《教育部办公厅关于开展2016-2017年度“一师一优课、一课一名师”活动的通知》（教基二厅函〔2017〕5号）精神，结合我省实际，决定在全省中小学校开展2016－2017年度“一师一优课、一课一名师”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一、各地要充分认识活动的重要意义，认真总结前</w:t>
      </w:r>
      <w:r>
        <w:rPr>
          <w:rFonts w:hint="eastAsia" w:eastAsia="仿宋_GB2312"/>
          <w:sz w:val="32"/>
          <w:szCs w:val="32"/>
          <w:lang w:val="en-US" w:eastAsia="zh-CN"/>
        </w:rPr>
        <w:t>两</w:t>
      </w:r>
      <w:r>
        <w:rPr>
          <w:rFonts w:hint="eastAsia" w:eastAsia="仿宋_GB2312"/>
          <w:sz w:val="32"/>
          <w:szCs w:val="32"/>
          <w:lang w:eastAsia="zh-CN"/>
        </w:rPr>
        <w:t>期工作经验，精心策划，周密部署，</w:t>
      </w:r>
      <w:r>
        <w:rPr>
          <w:rFonts w:hint="eastAsia" w:eastAsia="仿宋_GB2312"/>
          <w:sz w:val="32"/>
          <w:szCs w:val="32"/>
          <w:lang w:val="en-US" w:eastAsia="zh-CN"/>
        </w:rPr>
        <w:t>把握时间节点和标准要求，</w:t>
      </w:r>
      <w:r>
        <w:rPr>
          <w:rFonts w:hint="eastAsia" w:eastAsia="仿宋_GB2312"/>
          <w:sz w:val="32"/>
          <w:szCs w:val="32"/>
          <w:lang w:eastAsia="zh-CN"/>
        </w:rPr>
        <w:t>切实组织好2016-2017年度“一师一优课、一课一名师”活动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1715770</wp:posOffset>
                </wp:positionV>
                <wp:extent cx="5854700" cy="1270"/>
                <wp:effectExtent l="0" t="28575" r="12700" b="4635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127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9pt;margin-top:135.1pt;height:0.1pt;width:461pt;z-index:251661312;mso-width-relative:page;mso-height-relative:page;" filled="f" stroked="t" coordsize="21600,21600" o:gfxdata="UEsDBAoAAAAAAIdO4kAAAAAAAAAAAAAAAAAEAAAAZHJzL1BLAwQUAAAACACHTuJA7RK12NgAAAAL&#10;AQAADwAAAGRycy9kb3ducmV2LnhtbE2PwU7DMBBE75X4B2uRuLV2ooo2IU4FQT0gcUmBuxsvSRR7&#10;HcVOG/4ewwWOOzuaeVMcFmvYBSffO5KQbAQwpMbpnloJ72/H9R6YD4q0Mo5Qwhd6OJQ3q0Ll2l2p&#10;xssptCyGkM+VhC6EMefcNx1a5TduRIq/TzdZFeI5tVxP6hrDreGpEPfcqp5iQ6dGrDpshtNsJbw8&#10;vg5PVajq+tkM2bJ8zFl1RCnvbhPxACzgEv7M8IMf0aGMTGc3k/bMSFgn+7glSEh3IgUWHZnYRuX8&#10;q2yBlwX/v6H8BlBLAwQUAAAACACHTuJAMWVUf9ABAACjAwAADgAAAGRycy9lMm9Eb2MueG1srVNN&#10;j9MwEL0j8R8s32nSaktXUdM9bCmXFVRi+QFTe5xY+Eu2t2n/PWO3lAUuCJGDM86M38x7flk/nKxh&#10;R4xJe9fz+azlDJ3wUruh51+fd+/uOUsZnATjHfb8jIk/bN6+WU+hw4UfvZEYGYG41E2h52POoWua&#10;JEa0kGY+oKOk8tFCpm0cGhlhInRrmkXbvm8mH2WIXmBK9HV7SfJNxVcKRf6sVMLMTM9ptlzXWNdD&#10;WZvNGrohQhi1uI4B/zCFBe2o6Q1qCxnYS9R/QFktok9e5ZnwtvFKaYGVA7GZt7+x+TJCwMqFxEnh&#10;JlP6f7Di03EfmZY9X3DmwNIVPWmH7K4oM4XUUcGj28frLoV9LDRPKtryJgLsVNU839TEU2aCPi7v&#10;l3erlkQXlJsvVlXs5ufZEFP+iN6yEvTcUNsqIRyfUqZ+VPqjpLQyjk0EupovCySQV5SBTKENNH0e&#10;tXumO/xWIZI3Wu60MeVgisPh0UR2BPLAbtfSU8gR/C9lpdcW0nipq6mLO0YE+cFJls+B1HFkY14m&#10;sSg5M0iuLxEBQpdBm7+ppNbGlQNYHXqlW9S+6Fuig5dnupmXEPUwkjzzOnPJkBPq9FfXFqu93lP8&#10;+t/af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tErXY2AAAAAsBAAAPAAAAAAAAAAEAIAAAACIA&#10;AABkcnMvZG93bnJldi54bWxQSwECFAAUAAAACACHTuJAMWVUf9ABAACjAwAADgAAAAAAAAABACAA&#10;AAAnAQAAZHJzL2Uyb0RvYy54bWxQSwUGAAAAAAYABgBZAQAAa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  <w:lang w:val="en-US" w:eastAsia="zh-CN"/>
        </w:rPr>
        <w:t>二、各中小学校在制作优课时，要突出实用性，避免过度形式化，要将优课制作与课堂教学进行融合，避免给学校和教师造成困扰和额外负担。各级教育部门在组织优课评审时，要关注内容实质，避免形式主义。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bookmarkStart w:id="6" w:name="_GoBack"/>
      <w:bookmarkEnd w:id="6"/>
      <w:r>
        <w:rPr>
          <w:rFonts w:hint="eastAsia" w:eastAsia="仿宋_GB2312"/>
          <w:sz w:val="32"/>
          <w:szCs w:val="32"/>
          <w:lang w:val="en-US" w:eastAsia="zh-CN"/>
        </w:rPr>
        <w:t>三、通过信息化手段扩大优质教育资源覆盖面是开展活动的根本目的，各地要积极开展优课应用推广，组织广大中小学师生开展“看优课、学优课”活动，鼓励教师认真学习借鉴优课成果，融入教育教学，鼓励广大中小学生运用优课资源开展自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请各地按时间节点完成晒课与评审推荐工作。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1.晒课。</w:t>
      </w:r>
      <w:r>
        <w:rPr>
          <w:rFonts w:hint="eastAsia" w:eastAsia="仿宋_GB2312"/>
          <w:sz w:val="32"/>
          <w:szCs w:val="32"/>
          <w:lang w:eastAsia="zh-CN"/>
        </w:rPr>
        <w:t>根据教育部</w:t>
      </w:r>
      <w:r>
        <w:rPr>
          <w:rFonts w:hint="eastAsia" w:eastAsia="仿宋_GB2312"/>
          <w:sz w:val="32"/>
          <w:szCs w:val="32"/>
          <w:lang w:val="en-US" w:eastAsia="zh-CN"/>
        </w:rPr>
        <w:t>通知和我省实际，各学校按以下时段进行晒课：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高中：</w:t>
      </w:r>
      <w:r>
        <w:rPr>
          <w:rFonts w:hint="eastAsia" w:eastAsia="仿宋_GB2312"/>
          <w:sz w:val="32"/>
          <w:szCs w:val="32"/>
          <w:lang w:eastAsia="zh-CN"/>
        </w:rPr>
        <w:t>3月1日—</w:t>
      </w:r>
      <w:r>
        <w:rPr>
          <w:rFonts w:hint="eastAsia" w:eastAsia="仿宋_GB2312"/>
          <w:sz w:val="32"/>
          <w:szCs w:val="32"/>
          <w:lang w:val="en-US" w:eastAsia="zh-CN"/>
        </w:rPr>
        <w:t>5月31日；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初中：3月1日—6月30日；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小学4—6年级：4月1日—7月31日；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小学1—3年级：5月1日</w:t>
      </w:r>
      <w:r>
        <w:rPr>
          <w:rFonts w:hint="eastAsia" w:eastAsia="仿宋_GB2312"/>
          <w:sz w:val="32"/>
          <w:szCs w:val="32"/>
          <w:lang w:eastAsia="zh-CN"/>
        </w:rPr>
        <w:t>—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  <w:lang w:eastAsia="zh-CN"/>
        </w:rPr>
        <w:t>月3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2.评审推荐。</w:t>
      </w:r>
      <w:r>
        <w:rPr>
          <w:rFonts w:hint="eastAsia" w:eastAsia="仿宋_GB2312"/>
          <w:sz w:val="32"/>
          <w:szCs w:val="32"/>
          <w:lang w:eastAsia="zh-CN"/>
        </w:rPr>
        <w:t>请各市州</w:t>
      </w:r>
      <w:r>
        <w:rPr>
          <w:rFonts w:hint="eastAsia" w:eastAsia="仿宋_GB2312"/>
          <w:sz w:val="32"/>
          <w:szCs w:val="32"/>
          <w:lang w:val="en-US" w:eastAsia="zh-CN"/>
        </w:rPr>
        <w:t>于8月31日前完成评审推荐工作。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五、请各市州</w:t>
      </w:r>
      <w:r>
        <w:rPr>
          <w:rFonts w:hint="eastAsia" w:eastAsia="仿宋_GB2312"/>
          <w:sz w:val="32"/>
          <w:szCs w:val="32"/>
          <w:lang w:eastAsia="zh-CN"/>
        </w:rPr>
        <w:t>依据本次活动方案（附件1），制定活动实施细则，并安排专人负责。活动实施细则与活动联系表（附件3）加盖市州教育行政部门公章后，于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  <w:lang w:eastAsia="zh-CN"/>
        </w:rPr>
        <w:t>日前报送至省电化教育馆资源科。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六、</w:t>
      </w:r>
      <w:r>
        <w:rPr>
          <w:rFonts w:hint="eastAsia" w:eastAsia="仿宋_GB2312"/>
          <w:sz w:val="32"/>
          <w:szCs w:val="32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省教育厅基础教育处甘文波，电话0731-84714912；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省电化教育馆资源科罗杰，电话0731-82220197，邮箱hnszyzx@126.com。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pacing w:val="-2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附件：</w:t>
      </w:r>
      <w:r>
        <w:rPr>
          <w:rFonts w:hint="eastAsia" w:eastAsia="仿宋_GB2312"/>
          <w:spacing w:val="-22"/>
          <w:sz w:val="32"/>
          <w:szCs w:val="32"/>
          <w:lang w:eastAsia="zh-CN"/>
        </w:rPr>
        <w:t>1.</w:t>
      </w:r>
      <w:r>
        <w:rPr>
          <w:rFonts w:hint="eastAsia" w:eastAsia="仿宋_GB2312"/>
          <w:spacing w:val="-2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-22"/>
          <w:sz w:val="32"/>
          <w:szCs w:val="32"/>
          <w:lang w:eastAsia="zh-CN"/>
        </w:rPr>
        <w:t>2016-2017年度“一师一优课、一课一名师”活动方案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pacing w:val="-20"/>
          <w:sz w:val="32"/>
          <w:szCs w:val="32"/>
          <w:lang w:eastAsia="zh-CN"/>
        </w:rPr>
      </w:pPr>
      <w:r>
        <w:rPr>
          <w:rFonts w:hint="eastAsia" w:eastAsia="仿宋_GB2312"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eastAsia="仿宋_GB2312"/>
          <w:spacing w:val="-20"/>
          <w:sz w:val="32"/>
          <w:szCs w:val="32"/>
          <w:lang w:eastAsia="zh-CN"/>
        </w:rPr>
        <w:t>2.</w:t>
      </w:r>
      <w:r>
        <w:rPr>
          <w:rFonts w:hint="eastAsia" w:eastAsia="仿宋_GB2312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-20"/>
          <w:sz w:val="32"/>
          <w:szCs w:val="32"/>
          <w:lang w:eastAsia="zh-CN"/>
        </w:rPr>
        <w:t>2016-2017年度“一师一优课、一课一名师”活动“晒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pacing w:val="-20"/>
          <w:sz w:val="32"/>
          <w:szCs w:val="32"/>
          <w:lang w:eastAsia="zh-CN"/>
        </w:rPr>
      </w:pPr>
      <w:r>
        <w:rPr>
          <w:rFonts w:hint="eastAsia" w:eastAsia="仿宋_GB2312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pacing w:val="-20"/>
          <w:sz w:val="32"/>
          <w:szCs w:val="32"/>
          <w:lang w:eastAsia="zh-CN"/>
        </w:rPr>
        <w:t>课”任务分配表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pacing w:val="-29"/>
          <w:sz w:val="32"/>
          <w:szCs w:val="32"/>
          <w:lang w:eastAsia="zh-CN"/>
        </w:rPr>
      </w:pPr>
      <w:r>
        <w:rPr>
          <w:rFonts w:hint="eastAsia" w:eastAsia="仿宋_GB2312"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eastAsia="仿宋_GB2312"/>
          <w:spacing w:val="-29"/>
          <w:sz w:val="32"/>
          <w:szCs w:val="32"/>
          <w:lang w:eastAsia="zh-CN"/>
        </w:rPr>
        <w:t>3.</w:t>
      </w:r>
      <w:r>
        <w:rPr>
          <w:rFonts w:hint="eastAsia" w:eastAsia="仿宋_GB2312"/>
          <w:spacing w:val="-29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-29"/>
          <w:sz w:val="32"/>
          <w:szCs w:val="32"/>
          <w:lang w:eastAsia="zh-CN"/>
        </w:rPr>
        <w:t>2016-2017年度“一师一优课、一课一名师”活动联系表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pacing w:val="-29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湖南省教育厅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2017年2月28日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pacing w:val="-29"/>
          <w:sz w:val="32"/>
          <w:szCs w:val="32"/>
          <w:lang w:eastAsia="zh-CN"/>
        </w:rPr>
      </w:pPr>
      <w:r>
        <w:rPr>
          <w:rFonts w:hint="eastAsia" w:eastAsia="仿宋_GB2312"/>
          <w:spacing w:val="-29"/>
          <w:sz w:val="32"/>
          <w:szCs w:val="32"/>
          <w:lang w:eastAsia="zh-CN"/>
        </w:rPr>
        <w:br w:type="page"/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2016-2017年度“一师一优课、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一课一名师”活动方案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kern w:val="21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  <w:t>一、活动目标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充分调动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广大中小学教师应用信息技术的积极性、主动性和创造性，组织引导教师在国家教育资源公共服务平台（以下简称国家平台）“晒课”，数量达到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万堂以上，从中遴选2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000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堂“优课”纳入国家平台优质教育资源库，供广大教师学习借鉴，促进信息技术与教育教学深度融合，提高教育教学质量。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</w:pPr>
      <w:bookmarkStart w:id="0" w:name="_Toc385839983"/>
      <w:bookmarkEnd w:id="0"/>
      <w:bookmarkStart w:id="1" w:name="_Toc385840076"/>
      <w:bookmarkEnd w:id="1"/>
      <w:bookmarkStart w:id="2" w:name="_Toc385838179"/>
      <w:bookmarkEnd w:id="2"/>
      <w:bookmarkStart w:id="3" w:name="_Toc385839923"/>
      <w:bookmarkEnd w:id="3"/>
      <w:bookmarkStart w:id="4" w:name="_Toc387306630"/>
      <w:bookmarkStart w:id="5" w:name="_Toc383610194"/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（一）组织网上晒课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市州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要结合本地实际，组织教师在规定的时间内通过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湖南省基础教育资源网或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国家平台登录，利用国家平台提供的“晒课”功能进行实名制网上晒课。各市州参加本次活动“晒课”的教师应达到本市州专任教师总数的40%（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具体数量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省示范性高中、省现代教育技术实验学校的专任学科教师原则上应全部参加本次“晒课”活动。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1.版本要求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“晒课”教材的版本为经教育部审定的中小学教材,以教育部公布的2016年度教学用书目录为准（教基二厅〔2016〕12号）。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2.晒课内容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教师所提交的网上晒课内容应包括：一堂利用信息技术开展课堂教学的完整教学设计、所用课件及相关资源（或资源链接）、课堂实录（可选，拟参加教育部“优课”征集的为必选）和评测练习（可选）等。鼓励教师上传课堂实录，课堂实录（指教学过程视频）应展现课堂教学的完整过程（最低不少于30分钟），画面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晒课内容须符合义务教育课程标准和普通高中课程标准（实验）的理念和要求，体现信息技术与学科性质和特点的融合，注重展现利用信息技术创新教学方法、有效解决教育教学的重难点问题。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除外语课程外，其他课程晒课应使用国家通用语言文字。教师所提交的内容须为本人教学实践中所产生的内容，不得冒名顶替，杜绝抄袭，引用资料须注明出处和原作者。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3.晒课时间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根据教育部的统筹安排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结合我省实际，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本年度晒课采取按学段分阶段传课的方式，不同学段传课时间安排如下：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高中：3月1日-5月31日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初中：3月1日-6月30日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小学4-6年级：4月1日-7月31日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小学1-3年级：5月1日-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  <w:t>（二）推荐遴选“优课”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市州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要在网上晒课的基础上，逐级开展评审推荐。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  <w:lang w:val="en-US" w:eastAsia="zh-CN"/>
        </w:rPr>
        <w:t>市州</w:t>
      </w: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推荐。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市州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从本地区在国家平台所晒的课例中遴选推荐“优课”，截止时间为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日。要进一步完善评审推荐的规则和标准。要树立质量第一的思想，严格把关，优中选优，使所推荐“优课”具有典型和示范意义。要把好政治方向，坚持思想性、科学性和适宜性相统一。要严格推荐程序，坚持公开透明，保障公平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为确保质量，每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市州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推荐的“优课”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最多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不超过任务分配表中的上限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。为鼓励广泛参与，原则上每个年级每个学科每个版本每堂课推荐1个“优课”课例，同一教师原则上只推荐1堂“优课”。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级遴选。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将组织专家对各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市州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推荐的“优课”进行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评审遴选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出来的省级优课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将在国家平台进行公示和公布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按教育部通知要求，将根据“省级评审得分从高到低、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前两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期未产生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部级优课的节点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优先”的原则向教育部推荐不超过2000堂省级优课参加全国评审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（三）开展应用推广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市州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要组织广大中小学教师开展看“优课”学“优课”活动，认真学习借鉴部级“优课”成果。要在教研活动中将“优课”观摩作为重要内容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，促进教师专业发展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。要将“优课”优秀案例纳入本地区教师培训资源，鼓励师范院校利用“优课”开展案例教学。对评上省级“优课”的教师给予通报表彰，省级、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级“优课”荣誉可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为教师职称评定、评优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评先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国家平台将围绕学科教学和信息技术、数字教育资源应用等主题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，开展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“优课”教研在线会客室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等活动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可根据实际情况，积极组织参与。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  <w:t>三、组织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lang w:eastAsia="zh-CN"/>
        </w:rPr>
        <w:t>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活动继续由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电化教育馆共同组织实施。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shd w:val="clear" w:color="auto" w:fill="FFFFFF"/>
        </w:rPr>
        <w:t>市、县级教育行政部门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shd w:val="clear" w:color="auto" w:fill="FFFFFF"/>
          <w:lang w:eastAsia="zh-CN"/>
        </w:rPr>
        <w:t>要进一步提高思想认识，加强组织领导，狠抓工作落实，确保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shd w:val="clear" w:color="auto" w:fill="FFFFFF"/>
        </w:rPr>
        <w:t>“一师一优课、一课一名师”活动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shd w:val="clear" w:color="auto" w:fill="FFFFFF"/>
          <w:lang w:eastAsia="zh-CN"/>
        </w:rPr>
        <w:t>顺利实施。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要进一步健全工作机制，坚持教育行政部门牵头，充分发挥电教、教研等部门的作用，形成工作合力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。要结合实际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制订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，精心组织，广泛动员，加强宣传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要主动听取学校和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一线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教师的意见，完善支持和激励政策，调动广大教师参与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的积极性</w:t>
      </w:r>
      <w:bookmarkEnd w:id="4"/>
      <w:bookmarkEnd w:id="5"/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省教育厅将依据优课活动的晒课率（实际晒课数/应晒课数）、省级优课率（省级优课数/实际晒课数）等计算各市州得分，评选出8个市州教育局为省级优秀组织奖。活动期间因组织不力、把关不严对全省工作产生不良影响的不能获奖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6-2017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度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“一师一优课、一课一名师”活动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“晒课”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任务分配表</w:t>
      </w:r>
    </w:p>
    <w:tbl>
      <w:tblPr>
        <w:tblStyle w:val="6"/>
        <w:tblW w:w="831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1508"/>
        <w:gridCol w:w="1120"/>
        <w:gridCol w:w="1034"/>
        <w:gridCol w:w="1034"/>
        <w:gridCol w:w="1393"/>
        <w:gridCol w:w="11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地  区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应“晒课”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教师数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向省推荐“优课”数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全省合计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487369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249115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168235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70019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194947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49590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24480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15873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9237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19836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25377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12556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8474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4347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10150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17657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8329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6155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3173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7062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衡阳市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53577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27397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19024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7156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21430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邵阳市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52960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27725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18872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6363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21184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38065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18589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13350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6126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15226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常德市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37216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16766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13784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6666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14886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张家界市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10848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5517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3690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1641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4339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益阳市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27480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13756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9634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4090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10992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38633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21867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12356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4410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15453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永州市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43846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23837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14732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5277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17538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怀化市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37659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20190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12921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4548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15063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娄底市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30702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15261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11518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3923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12280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湘西州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23759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12845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7852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3062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9503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outlineLvl w:val="9"/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margin" w:tblpXSpec="center" w:tblpY="146"/>
        <w:tblW w:w="14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384"/>
        <w:gridCol w:w="850"/>
        <w:gridCol w:w="851"/>
        <w:gridCol w:w="2410"/>
        <w:gridCol w:w="992"/>
        <w:gridCol w:w="1843"/>
        <w:gridCol w:w="1256"/>
        <w:gridCol w:w="1544"/>
        <w:gridCol w:w="1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9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2016-2017年度“一师一优课、一课一名师”活动联系表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州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（教育行政部门公章）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负责部门名称</w:t>
            </w:r>
          </w:p>
        </w:tc>
        <w:tc>
          <w:tcPr>
            <w:tcW w:w="9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9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（邮编：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行政部门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组织部门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76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76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ind w:right="1280"/>
        <w:rPr>
          <w:rFonts w:ascii="仿宋_GB2312" w:eastAsia="仿宋_GB2312"/>
          <w:sz w:val="32"/>
          <w:szCs w:val="32"/>
        </w:rPr>
      </w:pPr>
    </w:p>
    <w:p>
      <w:pPr>
        <w:tabs>
          <w:tab w:val="left" w:pos="339"/>
        </w:tabs>
        <w:jc w:val="left"/>
        <w:rPr>
          <w:rFonts w:hint="eastAsia" w:eastAsia="仿宋_GB2312"/>
          <w:spacing w:val="-29"/>
          <w:sz w:val="32"/>
          <w:szCs w:val="32"/>
          <w:lang w:eastAsia="zh-CN"/>
        </w:rPr>
      </w:pPr>
    </w:p>
    <w:sectPr>
      <w:footerReference r:id="rId4" w:type="default"/>
      <w:footerReference r:id="rId5" w:type="even"/>
      <w:pgSz w:w="16838" w:h="11906" w:orient="landscape"/>
      <w:pgMar w:top="1797" w:right="1361" w:bottom="1797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38" w:wrap="around" w:vAnchor="text" w:hAnchor="margin" w:xAlign="outside" w:y="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3B64"/>
    <w:rsid w:val="005C6A27"/>
    <w:rsid w:val="00D63CC3"/>
    <w:rsid w:val="00E309CE"/>
    <w:rsid w:val="0FD1126B"/>
    <w:rsid w:val="196E0360"/>
    <w:rsid w:val="1B0A43E8"/>
    <w:rsid w:val="1D8B6A06"/>
    <w:rsid w:val="225B544A"/>
    <w:rsid w:val="2A95721A"/>
    <w:rsid w:val="2E5F75AB"/>
    <w:rsid w:val="30FE331B"/>
    <w:rsid w:val="330E6FB4"/>
    <w:rsid w:val="38EF7F4A"/>
    <w:rsid w:val="3B6405FB"/>
    <w:rsid w:val="3C1C362D"/>
    <w:rsid w:val="40854466"/>
    <w:rsid w:val="43C60A32"/>
    <w:rsid w:val="49AE1AF7"/>
    <w:rsid w:val="4F3C1B99"/>
    <w:rsid w:val="5E1869C8"/>
    <w:rsid w:val="5E6173AC"/>
    <w:rsid w:val="61813705"/>
    <w:rsid w:val="627646EA"/>
    <w:rsid w:val="65EE363D"/>
    <w:rsid w:val="66154489"/>
    <w:rsid w:val="704F3B64"/>
    <w:rsid w:val="751E5CF3"/>
    <w:rsid w:val="762146A7"/>
    <w:rsid w:val="7CC84E6F"/>
    <w:rsid w:val="7F242C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b\Documents\&#21150;&#20844;&#25991;&#26723;\01&#20869;&#21153;&#26434;&#39033;\31&#21150;&#20844;&#26684;&#24335;\&#26222;&#36890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普通公文格式.dot</Template>
  <Pages>1</Pages>
  <Words>0</Words>
  <Characters>0</Characters>
  <Lines>53</Lines>
  <Paragraphs>14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2017-02-23T08:43:00Z</dcterms:created>
  <dc:creator>甘文波</dc:creator>
  <cp:lastModifiedBy>Roger kevin</cp:lastModifiedBy>
  <cp:lastPrinted>2017-02-27T07:48:00Z</cp:lastPrinted>
  <dcterms:modified xsi:type="dcterms:W3CDTF">2017-06-09T01:57:15Z</dcterms:modified>
  <dc:title>加快中西部教育发展行动计划(2015 -2020年)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