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autofit"/>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vAlign w:val="center"/>
          </w:tcPr>
          <w:p>
            <w:pPr>
              <w:snapToGrid w:val="0"/>
              <w:jc w:val="distribute"/>
              <w:rPr>
                <w:w w:val="80"/>
                <w:sz w:val="112"/>
                <w:szCs w:val="112"/>
              </w:rPr>
            </w:pPr>
            <w:r>
              <w:rPr>
                <w:w w:val="80"/>
                <w:sz w:val="112"/>
                <w:szCs w:val="112"/>
              </w:rPr>
              <w:t xml:space="preserve"> </w:t>
            </w:r>
          </w:p>
        </w:tc>
      </w:tr>
    </w:tbl>
    <w:p>
      <w:pPr>
        <w:spacing w:line="600" w:lineRule="exact"/>
        <w:rPr>
          <w:rFonts w:eastAsia="仿宋_GB2312"/>
          <w:sz w:val="32"/>
          <w:szCs w:val="32"/>
        </w:rPr>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-1499870</wp:posOffset>
                </wp:positionV>
                <wp:extent cx="2417445" cy="390525"/>
                <wp:effectExtent l="0" t="0" r="5715" b="5715"/>
                <wp:wrapNone/>
                <wp:docPr id="1" name="矩形 1"/>
                <wp:cNvGraphicFramePr/>
                <a:graphic xmlns:a="http://schemas.openxmlformats.org/drawingml/2006/main">
                  <a:graphicData uri="http://schemas.microsoft.com/office/word/2010/wordprocessingShape">
                    <wps:wsp>
                      <wps:cNvSpPr/>
                      <wps:spPr>
                        <a:xfrm>
                          <a:off x="0" y="0"/>
                          <a:ext cx="2417445" cy="390525"/>
                        </a:xfrm>
                        <a:prstGeom prst="rect">
                          <a:avLst/>
                        </a:prstGeom>
                        <a:solidFill>
                          <a:srgbClr val="FFFFFF"/>
                        </a:solidFill>
                        <a:ln>
                          <a:noFill/>
                        </a:ln>
                      </wps:spPr>
                      <wps:txbx>
                        <w:txbxContent>
                          <w:p>
                            <w:pPr>
                              <w:rPr>
                                <w:sz w:val="32"/>
                                <w:szCs w:val="32"/>
                              </w:rPr>
                            </w:pPr>
                            <w:r>
                              <w:rPr>
                                <w:sz w:val="32"/>
                                <w:szCs w:val="32"/>
                              </w:rPr>
                              <w:t>HNPR－2022－03016</w:t>
                            </w:r>
                          </w:p>
                        </w:txbxContent>
                      </wps:txbx>
                      <wps:bodyPr upright="1"/>
                    </wps:wsp>
                  </a:graphicData>
                </a:graphic>
              </wp:anchor>
            </w:drawing>
          </mc:Choice>
          <mc:Fallback>
            <w:pict>
              <v:rect id="_x0000_s1026" o:spid="_x0000_s1026" o:spt="1" style="position:absolute;left:0pt;margin-left:1.3pt;margin-top:-118.1pt;height:30.75pt;width:190.35pt;z-index:251661312;mso-width-relative:page;mso-height-relative:page;" fillcolor="#FFFFFF" filled="t" stroked="f" coordsize="21600,21600" o:gfxdata="UEsDBAoAAAAAAIdO4kAAAAAAAAAAAAAAAAAEAAAAZHJzL1BLAwQUAAAACACHTuJA+dAgVtkAAAAL&#10;AQAADwAAAGRycy9kb3ducmV2LnhtbE2PsU7DMBCGdyTewTokttZOXNwS4nRA6gQMtEis19hNIuJz&#10;iJ02vD1mouPdffrv+8vt7Hp2tmPoPGnIlgKYpdqbjhoNH4fdYgMsRCSDvSer4ccG2Fa3NyUWxl/o&#10;3Z73sWEphEKBGtoYh4LzULfWYVj6wVK6nfzoMKZxbLgZ8ZLCXc9zIRR32FH60OJgn1tbf+0npwHV&#10;yny/neTr4WVS+NjMYvfwKbS+v8vEE7Bo5/gPw59+UocqOR39RCawXkOuEqhhkUuVA0uA3EgJ7JhW&#10;2Xq1Bl6V/LpD9QtQSwMEFAAAAAgAh07iQBck8M+2AQAAagMAAA4AAABkcnMvZTJvRG9jLnhtbK1T&#10;zY7TMBC+I/EOlu80aWn5iZrugapcEKy0ywO4jpNY8p9m3CZ9GiRuPASPg3gNxk7ownLZAzk4M+Px&#10;N/N9Y29vRmvYWQFq72q+XJScKSd9o11X88/3hxdvOMMoXCOMd6rmF4X8Zvf82XYIlVr53ptGASMQ&#10;h9UQat7HGKqiQNkrK3Dhg3K02XqwIpILXdGAGAjdmmJVlq+KwUMTwEuFSNH9tMlnRHgKoG9bLdXe&#10;y5NVLk6ooIyIRAl7HZDvcrdtq2T81LaoIjM1J6Yxr1SE7GNai91WVB2I0Gs5tyCe0sIjTlZoR0Wv&#10;UHsRBTuB/gfKagkefRsX0ttiIpIVIRbL8pE2d70IKnMhqTFcRcf/Bys/nm+B6YZuAmdOWBr4zy/f&#10;fnz/ypZJmyFgRSl34RZmD8lMRMcWbPoTBTZmPS9XPdUYmaTgar18vV5vOJO09/JtuVltEmjxcDoA&#10;xvfKW5aMmgPNK8sozh8wTqm/U1Ix9EY3B21MdqA7vjPAzoJme8jfjP5XmnEp2fl0bEJMkSIxm7gk&#10;K47HcSZ49M2FJDkF0F1PPWUdcjqNIDc/X5c04z/9DPrwRH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nQIFbZAAAACwEAAA8AAAAAAAAAAQAgAAAAIgAAAGRycy9kb3ducmV2LnhtbFBLAQIUABQA&#10;AAAIAIdO4kAXJPDPtgEAAGoDAAAOAAAAAAAAAAEAIAAAACgBAABkcnMvZTJvRG9jLnhtbFBLBQYA&#10;AAAABgAGAFkBAABQBQAAAAA=&#10;">
                <v:fill on="t" focussize="0,0"/>
                <v:stroke on="f"/>
                <v:imagedata o:title=""/>
                <o:lock v:ext="edit" aspectratio="f"/>
                <v:textbox>
                  <w:txbxContent>
                    <w:p>
                      <w:pPr>
                        <w:rPr>
                          <w:sz w:val="32"/>
                          <w:szCs w:val="32"/>
                        </w:rPr>
                      </w:pPr>
                      <w:r>
                        <w:rPr>
                          <w:sz w:val="32"/>
                          <w:szCs w:val="32"/>
                        </w:rPr>
                        <w:t>HNPR－2022－03016</w:t>
                      </w:r>
                    </w:p>
                  </w:txbxContent>
                </v:textbox>
              </v:rect>
            </w:pict>
          </mc:Fallback>
        </mc:AlternateContent>
      </w:r>
    </w:p>
    <w:p>
      <w:pPr>
        <w:spacing w:line="600" w:lineRule="exact"/>
        <w:jc w:val="right"/>
        <w:rPr>
          <w:rFonts w:eastAsia="仿宋_GB2312"/>
          <w:sz w:val="32"/>
          <w:szCs w:val="32"/>
        </w:rPr>
      </w:pPr>
      <w:r>
        <w:rPr>
          <w:rFonts w:hint="eastAsia" w:eastAsia="仿宋_GB2312"/>
          <w:sz w:val="32"/>
          <w:szCs w:val="32"/>
        </w:rPr>
        <w:t>湘</w:t>
      </w:r>
      <w:r>
        <w:rPr>
          <w:rFonts w:eastAsia="仿宋_GB2312"/>
          <w:sz w:val="32"/>
          <w:szCs w:val="32"/>
        </w:rPr>
        <w:t>教</w:t>
      </w:r>
      <w:r>
        <w:rPr>
          <w:rFonts w:hint="eastAsia" w:eastAsia="仿宋_GB2312"/>
          <w:sz w:val="32"/>
          <w:szCs w:val="32"/>
        </w:rPr>
        <w:t>通〔2022〕</w:t>
      </w:r>
      <w:r>
        <w:rPr>
          <w:rFonts w:eastAsia="仿宋_GB2312"/>
          <w:sz w:val="32"/>
          <w:szCs w:val="32"/>
        </w:rPr>
        <w:t>102</w:t>
      </w:r>
      <w:r>
        <w:rPr>
          <w:rFonts w:hint="eastAsia" w:eastAsia="仿宋_GB2312"/>
          <w:sz w:val="32"/>
          <w:szCs w:val="32"/>
        </w:rPr>
        <w:t>号</w:t>
      </w:r>
    </w:p>
    <w:p>
      <w:pPr>
        <w:spacing w:line="600" w:lineRule="exact"/>
        <w:jc w:val="right"/>
        <w:rPr>
          <w:rFonts w:eastAsia="仿宋_GB2312"/>
          <w:sz w:val="32"/>
          <w:szCs w:val="32"/>
        </w:rPr>
      </w:pPr>
    </w:p>
    <w:p>
      <w:pPr>
        <w:spacing w:line="600" w:lineRule="exact"/>
        <w:jc w:val="center"/>
        <w:rPr>
          <w:rFonts w:eastAsia="方正小标宋简体"/>
          <w:kern w:val="0"/>
          <w:sz w:val="44"/>
          <w:szCs w:val="44"/>
          <w:lang w:bidi="ar"/>
        </w:rPr>
      </w:pPr>
      <w:r>
        <w:rPr>
          <w:rFonts w:eastAsia="方正小标宋简体"/>
          <w:kern w:val="0"/>
          <w:sz w:val="44"/>
          <w:szCs w:val="44"/>
          <w:lang w:bidi="ar"/>
        </w:rPr>
        <w:t>湖南省教育厅关于进一步规范普通中小学</w:t>
      </w:r>
    </w:p>
    <w:p>
      <w:pPr>
        <w:spacing w:line="600" w:lineRule="exact"/>
        <w:jc w:val="center"/>
      </w:pPr>
      <w:r>
        <w:rPr>
          <w:rFonts w:eastAsia="方正小标宋简体"/>
          <w:kern w:val="0"/>
          <w:sz w:val="44"/>
          <w:szCs w:val="44"/>
          <w:lang w:bidi="ar"/>
        </w:rPr>
        <w:t>招生入学工作的通知</w:t>
      </w:r>
    </w:p>
    <w:p>
      <w:pPr>
        <w:spacing w:line="600" w:lineRule="exact"/>
        <w:jc w:val="left"/>
        <w:rPr>
          <w:rFonts w:hint="eastAsia" w:eastAsia="方正小标宋简体"/>
          <w:lang w:eastAsia="zh-CN"/>
        </w:rPr>
      </w:pPr>
      <w:bookmarkStart w:id="0" w:name="_GoBack"/>
      <w:bookmarkEnd w:id="0"/>
    </w:p>
    <w:p>
      <w:pPr>
        <w:spacing w:line="600" w:lineRule="exact"/>
        <w:jc w:val="left"/>
      </w:pPr>
    </w:p>
    <w:p>
      <w:pPr>
        <w:spacing w:line="600" w:lineRule="exact"/>
        <w:rPr>
          <w:rFonts w:eastAsia="仿宋_GB2312"/>
          <w:sz w:val="32"/>
          <w:szCs w:val="32"/>
        </w:rPr>
      </w:pPr>
      <w:r>
        <w:rPr>
          <w:rFonts w:eastAsia="仿宋_GB2312"/>
          <w:sz w:val="32"/>
          <w:szCs w:val="32"/>
        </w:rPr>
        <w:t>各市州教育（体）局：</w:t>
      </w:r>
    </w:p>
    <w:p>
      <w:pPr>
        <w:spacing w:line="600" w:lineRule="exact"/>
        <w:ind w:firstLine="640"/>
        <w:rPr>
          <w:rFonts w:eastAsia="仿宋_GB2312"/>
          <w:kern w:val="0"/>
          <w:sz w:val="32"/>
          <w:szCs w:val="32"/>
          <w:lang w:bidi="ar"/>
        </w:rPr>
      </w:pPr>
      <w:r>
        <w:rPr>
          <w:rFonts w:eastAsia="仿宋_GB2312"/>
          <w:kern w:val="0"/>
          <w:sz w:val="32"/>
          <w:szCs w:val="32"/>
          <w:lang w:bidi="ar"/>
        </w:rPr>
        <w:t>为进一步提高普通中小学招生入学工作的科学化、制度化、规范化水平，健全公平入学长效机制，助推</w:t>
      </w:r>
      <w:r>
        <w:rPr>
          <w:rFonts w:eastAsia="TimesNewRomanPSMT"/>
          <w:kern w:val="0"/>
          <w:sz w:val="32"/>
          <w:szCs w:val="32"/>
          <w:lang w:bidi="ar"/>
        </w:rPr>
        <w:t>“</w:t>
      </w:r>
      <w:r>
        <w:rPr>
          <w:rFonts w:eastAsia="仿宋_GB2312"/>
          <w:kern w:val="0"/>
          <w:sz w:val="32"/>
          <w:szCs w:val="32"/>
          <w:lang w:bidi="ar"/>
        </w:rPr>
        <w:t>双减</w:t>
      </w:r>
      <w:r>
        <w:rPr>
          <w:rFonts w:eastAsia="TimesNewRomanPSMT"/>
          <w:kern w:val="0"/>
          <w:sz w:val="32"/>
          <w:szCs w:val="32"/>
          <w:lang w:bidi="ar"/>
        </w:rPr>
        <w:t xml:space="preserve">” </w:t>
      </w:r>
      <w:r>
        <w:rPr>
          <w:rFonts w:eastAsia="仿宋_GB2312"/>
          <w:kern w:val="0"/>
          <w:sz w:val="32"/>
          <w:szCs w:val="32"/>
          <w:lang w:bidi="ar"/>
        </w:rPr>
        <w:t>政策落地见效，营造良好教育生态，根据《教育部办公厅关于进一步做好普通中小学招生入学工作的通知》（教基厅〔2022〕1号）、《关于进一步加强普通中小学招生入学管理工作的实施意见》（湘教发〔2021〕16号）等文件要求，就进一步规范普通中小学招生入学工作通知如下。</w:t>
      </w:r>
    </w:p>
    <w:p>
      <w:pPr>
        <w:spacing w:line="600" w:lineRule="exact"/>
        <w:ind w:firstLine="640" w:firstLineChars="200"/>
      </w:pPr>
      <w:r>
        <w:rPr>
          <w:rFonts w:eastAsia="黑体"/>
          <w:kern w:val="0"/>
          <w:sz w:val="32"/>
          <w:szCs w:val="32"/>
          <w:lang w:bidi="ar"/>
        </w:rPr>
        <w:t>一、科学合理划定片区。</w:t>
      </w:r>
      <w:r>
        <w:rPr>
          <w:rFonts w:eastAsia="仿宋_GB2312"/>
          <w:kern w:val="0"/>
          <w:sz w:val="32"/>
          <w:szCs w:val="32"/>
          <w:lang w:bidi="ar"/>
        </w:rPr>
        <w:t>各地要建立义务教育阶段常住人口学龄儿童摸底调查制度，加强生源分布情况分析，按照</w:t>
      </w:r>
      <w:r>
        <w:rPr>
          <w:rFonts w:eastAsia="TimesNewRomanPSMT"/>
          <w:kern w:val="0"/>
          <w:sz w:val="32"/>
          <w:szCs w:val="32"/>
          <w:lang w:bidi="ar"/>
        </w:rPr>
        <w:t>“</w:t>
      </w:r>
      <w:r>
        <w:rPr>
          <w:rFonts w:eastAsia="仿宋_GB2312"/>
          <w:kern w:val="0"/>
          <w:sz w:val="32"/>
          <w:szCs w:val="32"/>
          <w:lang w:bidi="ar"/>
        </w:rPr>
        <w:t>学校划片招生、生源就近入学</w:t>
      </w:r>
      <w:r>
        <w:rPr>
          <w:rFonts w:eastAsia="TimesNewRomanPSMT"/>
          <w:kern w:val="0"/>
          <w:sz w:val="32"/>
          <w:szCs w:val="32"/>
          <w:lang w:bidi="ar"/>
        </w:rPr>
        <w:t>”</w:t>
      </w:r>
      <w:r>
        <w:rPr>
          <w:rFonts w:eastAsia="仿宋_GB2312"/>
          <w:kern w:val="0"/>
          <w:sz w:val="32"/>
          <w:szCs w:val="32"/>
          <w:lang w:bidi="ar"/>
        </w:rPr>
        <w:t xml:space="preserve">的目标要求，充分考虑适龄儿童人数、学校分布和规模、行政区划、交通状况等因素，为每所义务教育学校科学划定招生片区范围。教育资源相对均衡的地方，鼓励实行单校划片，合理稳定就学预期；教育资源不够均衡的地方，积极稳妥推进多校划片，并将热点学校分散划入相应片区，推进片区间优质教育资源大体均衡，确保划片就近入学的要求全面落实。片区划定后应保持相对稳定，对出现学校布局调整、学龄人口变化较大等情况的，各地可在科学评估、广泛征求意见并加强风险评估的基础上适当调整片区范围，提前向社会公布，并深入细致做好宣传解释工作。 </w:t>
      </w:r>
    </w:p>
    <w:p>
      <w:pPr>
        <w:spacing w:line="600" w:lineRule="exact"/>
        <w:ind w:firstLine="640" w:firstLineChars="200"/>
        <w:rPr>
          <w:rFonts w:eastAsia="仿宋_GB2312"/>
          <w:kern w:val="0"/>
          <w:sz w:val="32"/>
          <w:szCs w:val="32"/>
          <w:lang w:bidi="ar"/>
        </w:rPr>
      </w:pPr>
      <w:r>
        <w:rPr>
          <w:rFonts w:eastAsia="黑体"/>
          <w:sz w:val="32"/>
          <w:szCs w:val="32"/>
        </w:rPr>
        <w:t>二、</w:t>
      </w:r>
      <w:r>
        <w:rPr>
          <w:rFonts w:eastAsia="黑体"/>
          <w:kern w:val="0"/>
          <w:sz w:val="32"/>
          <w:szCs w:val="32"/>
          <w:lang w:bidi="ar"/>
        </w:rPr>
        <w:t>规范报名信息采集。</w:t>
      </w:r>
      <w:r>
        <w:rPr>
          <w:rFonts w:eastAsia="仿宋_GB2312"/>
          <w:kern w:val="0"/>
          <w:sz w:val="32"/>
          <w:szCs w:val="32"/>
          <w:lang w:bidi="ar"/>
        </w:rPr>
        <w:t>各地要健全义务教育入学报名登记制度，按照材料非必要不提供、信息非必要不采集的原则，提前明确、广泛宣传报名登记所需材料、报名时间和办理方式。信息采集应限于学生基本信息、家庭住址及家长姓名、联系方式等必要内容，严禁采集学生家长职务和收入信息。信息采集工作应在招生入学时一次性完成，不得利用各类</w:t>
      </w:r>
      <w:r>
        <w:rPr>
          <w:rFonts w:eastAsia="TimesNewRomanPSMT"/>
          <w:kern w:val="0"/>
          <w:sz w:val="32"/>
          <w:szCs w:val="32"/>
          <w:lang w:bidi="ar"/>
        </w:rPr>
        <w:t>APP</w:t>
      </w:r>
      <w:r>
        <w:rPr>
          <w:rFonts w:eastAsia="仿宋_GB2312"/>
          <w:kern w:val="0"/>
          <w:sz w:val="32"/>
          <w:szCs w:val="32"/>
          <w:lang w:bidi="ar"/>
        </w:rPr>
        <w:t>、小程序随意反复采集学生相关信息。全面清理取消学前教育经历、计划生育证明、超过正常入学年龄证明等无谓证明材料。预防接种证明不作为入学报名前置条件，可在开学后及时要求学生提供。各地应建设和完善统一的义务教育招生入学服务平台，加快推进区域内户籍、房产、社保等入学相关信息共享，实现网上报名、材料审核和录取，切实为群众办事提供便利。</w:t>
      </w:r>
    </w:p>
    <w:p>
      <w:pPr>
        <w:spacing w:line="600" w:lineRule="exact"/>
        <w:ind w:firstLine="640" w:firstLineChars="200"/>
        <w:rPr>
          <w:rFonts w:eastAsia="仿宋_GB2312"/>
          <w:kern w:val="0"/>
          <w:sz w:val="32"/>
          <w:szCs w:val="32"/>
          <w:lang w:bidi="ar"/>
        </w:rPr>
      </w:pPr>
      <w:r>
        <w:rPr>
          <w:rFonts w:eastAsia="黑体"/>
          <w:kern w:val="0"/>
          <w:sz w:val="32"/>
          <w:szCs w:val="32"/>
          <w:lang w:bidi="ar"/>
        </w:rPr>
        <w:t>三、健全有序录取机制。</w:t>
      </w:r>
      <w:r>
        <w:rPr>
          <w:rFonts w:eastAsia="仿宋_GB2312"/>
          <w:kern w:val="0"/>
          <w:sz w:val="32"/>
          <w:szCs w:val="32"/>
          <w:lang w:bidi="ar"/>
        </w:rPr>
        <w:t>各地要按照义务教育免试就近入学总体要求，分别明确小学、初中学生录取的具体方式和规则，切实保障入学机会公平。片区内登记报名人数少于学校招生计划的，学校应全部录取；超过学校招生计划的，按照已明确的规则录取，其余未录取学生由县级教育行政部门在相邻片区就近协调安排入学。严格落实优质普通高中招生指标分配到区域内薄弱初中的政策措施，引导义务教育阶段学生就近入学。</w:t>
      </w:r>
    </w:p>
    <w:p>
      <w:pPr>
        <w:spacing w:line="600" w:lineRule="exact"/>
        <w:ind w:firstLine="640" w:firstLineChars="200"/>
        <w:rPr>
          <w:rFonts w:eastAsia="仿宋_GB2312"/>
          <w:kern w:val="0"/>
          <w:sz w:val="32"/>
          <w:szCs w:val="32"/>
          <w:lang w:bidi="ar"/>
        </w:rPr>
      </w:pPr>
      <w:r>
        <w:rPr>
          <w:rFonts w:eastAsia="黑体"/>
          <w:kern w:val="0"/>
          <w:sz w:val="32"/>
          <w:szCs w:val="32"/>
          <w:lang w:bidi="ar"/>
        </w:rPr>
        <w:t>四、全面落实公民同招。</w:t>
      </w:r>
      <w:r>
        <w:rPr>
          <w:rFonts w:eastAsia="仿宋_GB2312"/>
          <w:kern w:val="0"/>
          <w:sz w:val="32"/>
          <w:szCs w:val="32"/>
          <w:lang w:bidi="ar"/>
        </w:rPr>
        <w:t>各地要认真落实规范民办义务教育发展和公民办义务教育学校同步招生的规定要求，合理制定义务教育学校招生计划。民办义务教育学校（含民办完全中学和十二年一贯制学校的义务教育学段）应在学校审批机关管辖区域内与公办学校同步招生，不得单独组织学生报名、录取。优先满足学校所在县市区学生入学需求，在本县市区内不能完成招生计划且审批机关为市州教育行政部门的，可以在审批机关管辖区内适当跨县市区招生，不得跨市州招生；对报名人数超过招生计划的，严格实行电脑随机录取。</w:t>
      </w:r>
    </w:p>
    <w:p>
      <w:pPr>
        <w:spacing w:line="600" w:lineRule="exact"/>
        <w:ind w:firstLine="640" w:firstLineChars="200"/>
        <w:rPr>
          <w:rFonts w:eastAsia="仿宋_GB2312"/>
          <w:kern w:val="0"/>
          <w:sz w:val="32"/>
          <w:szCs w:val="32"/>
          <w:lang w:bidi="ar"/>
        </w:rPr>
      </w:pPr>
      <w:r>
        <w:rPr>
          <w:rFonts w:eastAsia="黑体"/>
          <w:kern w:val="0"/>
          <w:sz w:val="32"/>
          <w:szCs w:val="32"/>
          <w:lang w:bidi="ar"/>
        </w:rPr>
        <w:t>五、规范普通高中招生。</w:t>
      </w:r>
      <w:r>
        <w:rPr>
          <w:rFonts w:eastAsia="仿宋_GB2312"/>
          <w:kern w:val="0"/>
          <w:sz w:val="32"/>
          <w:szCs w:val="32"/>
          <w:lang w:bidi="ar"/>
        </w:rPr>
        <w:t>各地要结合实际进一步完善普通高中招生管理机制，严格执行属地招生和公民同招的有关政策规定，持续巩固普通高中招生改革成果。民办普通高中</w:t>
      </w:r>
      <w:r>
        <w:rPr>
          <w:rFonts w:eastAsia="仿宋_GB2312"/>
          <w:kern w:val="0"/>
          <w:sz w:val="31"/>
          <w:szCs w:val="31"/>
          <w:lang w:bidi="ar"/>
        </w:rPr>
        <w:t>应当遵循学生自愿的原则，在符合招生政策</w:t>
      </w:r>
      <w:r>
        <w:rPr>
          <w:rFonts w:eastAsia="仿宋_GB2312"/>
          <w:kern w:val="0"/>
          <w:sz w:val="32"/>
          <w:szCs w:val="32"/>
          <w:lang w:bidi="ar"/>
        </w:rPr>
        <w:t>的基础上，</w:t>
      </w:r>
      <w:r>
        <w:rPr>
          <w:rFonts w:eastAsia="仿宋_GB2312"/>
          <w:kern w:val="0"/>
          <w:sz w:val="31"/>
          <w:szCs w:val="31"/>
          <w:lang w:bidi="ar"/>
        </w:rPr>
        <w:t>公开公平公正录取学生</w:t>
      </w:r>
      <w:r>
        <w:rPr>
          <w:rFonts w:hint="eastAsia" w:eastAsia="仿宋_GB2312"/>
          <w:kern w:val="0"/>
          <w:sz w:val="31"/>
          <w:szCs w:val="31"/>
          <w:lang w:val="en" w:bidi="ar"/>
        </w:rPr>
        <w:t>，</w:t>
      </w:r>
      <w:r>
        <w:rPr>
          <w:rFonts w:eastAsia="仿宋_GB2312"/>
          <w:kern w:val="0"/>
          <w:sz w:val="31"/>
          <w:szCs w:val="31"/>
          <w:lang w:bidi="ar"/>
        </w:rPr>
        <w:t>不得录取分数低于</w:t>
      </w:r>
      <w:r>
        <w:rPr>
          <w:rFonts w:eastAsia="仿宋_GB2312"/>
          <w:kern w:val="0"/>
          <w:sz w:val="32"/>
          <w:szCs w:val="32"/>
          <w:lang w:bidi="ar"/>
        </w:rPr>
        <w:t>教育行政主管部门确定的普通高中最低录取控制分数线的学生，</w:t>
      </w:r>
      <w:r>
        <w:rPr>
          <w:rFonts w:eastAsia="仿宋_GB2312"/>
          <w:kern w:val="0"/>
          <w:sz w:val="31"/>
          <w:szCs w:val="31"/>
          <w:lang w:val="en" w:bidi="ar"/>
        </w:rPr>
        <w:t>严禁将录取分数与收费挂钩。</w:t>
      </w:r>
      <w:r>
        <w:rPr>
          <w:rFonts w:eastAsia="仿宋_GB2312"/>
          <w:kern w:val="0"/>
          <w:sz w:val="32"/>
          <w:szCs w:val="32"/>
          <w:lang w:bidi="ar"/>
        </w:rPr>
        <w:t>生源不足的民办普通高中，可由市级教育行政部门在辖区内统筹调剂安排招生计划。普通高中学位资源不足的县市区，经申请由市级教育行政部门统筹调剂辖区内学位资源，合理安排跨区域招生计划。</w:t>
      </w:r>
      <w:r>
        <w:rPr>
          <w:rFonts w:eastAsia="仿宋_GB2312"/>
          <w:kern w:val="0"/>
          <w:sz w:val="31"/>
          <w:szCs w:val="31"/>
          <w:lang w:bidi="ar"/>
        </w:rPr>
        <w:t>在市域内调剂招生计划的一律不得掐尖，也</w:t>
      </w:r>
      <w:r>
        <w:rPr>
          <w:rFonts w:eastAsia="仿宋_GB2312"/>
          <w:kern w:val="0"/>
          <w:sz w:val="32"/>
          <w:szCs w:val="32"/>
          <w:lang w:bidi="ar"/>
        </w:rPr>
        <w:t>不得录取分数低于生源地普通高中最低录取控制分数线的学生</w:t>
      </w:r>
      <w:r>
        <w:rPr>
          <w:rFonts w:eastAsia="仿宋_GB2312"/>
          <w:kern w:val="0"/>
          <w:sz w:val="31"/>
          <w:szCs w:val="31"/>
          <w:lang w:bidi="ar"/>
        </w:rPr>
        <w:t>。</w:t>
      </w:r>
      <w:r>
        <w:rPr>
          <w:rFonts w:eastAsia="仿宋_GB2312"/>
          <w:kern w:val="0"/>
          <w:sz w:val="32"/>
          <w:szCs w:val="32"/>
          <w:lang w:bidi="ar"/>
        </w:rPr>
        <w:t>要进一步落实优质普通高中（包括省级示范性高中和当地办学质量高、社会声誉好的非示范性高中）招生指标合理分配到区域内初中的政策，分配比例不得低于50%且逐步提高，并坚持向薄弱初中倾斜，不得跨区域分配指标。要合理设置指标生最低录取控制分数线，努力提高指标生整体录取率，2022年应达到85%以上。各地要简化普通高中招生批次，2022年原则上不超过两个批次，</w:t>
      </w:r>
      <w:r>
        <w:rPr>
          <w:rFonts w:hint="eastAsia" w:eastAsia="仿宋_GB2312"/>
          <w:sz w:val="32"/>
          <w:szCs w:val="32"/>
        </w:rPr>
        <w:t>今年确因特殊原因不能实现两个批次的，</w:t>
      </w:r>
      <w:r>
        <w:rPr>
          <w:rFonts w:eastAsia="仿宋_GB2312"/>
          <w:sz w:val="32"/>
          <w:szCs w:val="32"/>
        </w:rPr>
        <w:t>须</w:t>
      </w:r>
      <w:r>
        <w:rPr>
          <w:rFonts w:hint="eastAsia" w:eastAsia="仿宋_GB2312"/>
          <w:sz w:val="32"/>
          <w:szCs w:val="32"/>
        </w:rPr>
        <w:t>报省教育厅审批同意</w:t>
      </w:r>
      <w:r>
        <w:rPr>
          <w:rFonts w:eastAsia="仿宋_GB2312"/>
          <w:kern w:val="0"/>
          <w:sz w:val="32"/>
          <w:szCs w:val="32"/>
          <w:lang w:bidi="ar"/>
        </w:rPr>
        <w:t>。各地要全面建立市级高中阶段学校统一招生录取网络平台，切实加强招生录取过程管理，严禁提前招生、超计划招生、违规跨区域招生，严禁招收借读生、收取借读费。严格落实公办学校参与举办的民办普通高中独立招生规定，严禁公民办学校混合招生。</w:t>
      </w:r>
    </w:p>
    <w:p>
      <w:pPr>
        <w:spacing w:line="600" w:lineRule="exact"/>
        <w:ind w:firstLine="640"/>
      </w:pPr>
      <w:r>
        <w:rPr>
          <w:rFonts w:eastAsia="黑体"/>
          <w:kern w:val="0"/>
          <w:sz w:val="32"/>
          <w:szCs w:val="32"/>
          <w:lang w:bidi="ar"/>
        </w:rPr>
        <w:t>六、保障特殊群体入学。</w:t>
      </w:r>
      <w:r>
        <w:rPr>
          <w:rFonts w:eastAsia="仿宋_GB2312"/>
          <w:kern w:val="0"/>
          <w:sz w:val="32"/>
          <w:szCs w:val="32"/>
          <w:lang w:bidi="ar"/>
        </w:rPr>
        <w:t>各地要健全控辍保学长效机制，确保适龄儿童少年应入尽入。深入推进</w:t>
      </w:r>
      <w:r>
        <w:rPr>
          <w:rFonts w:eastAsia="TimesNewRomanPSMT"/>
          <w:kern w:val="0"/>
          <w:sz w:val="32"/>
          <w:szCs w:val="32"/>
          <w:lang w:bidi="ar"/>
        </w:rPr>
        <w:t>“</w:t>
      </w:r>
      <w:r>
        <w:rPr>
          <w:rFonts w:eastAsia="仿宋_GB2312"/>
          <w:kern w:val="0"/>
          <w:sz w:val="32"/>
          <w:szCs w:val="32"/>
          <w:lang w:bidi="ar"/>
        </w:rPr>
        <w:t>两为主、两纳入、以居住证为主要依据</w:t>
      </w:r>
      <w:r>
        <w:rPr>
          <w:rFonts w:eastAsia="TimesNewRomanPSMT"/>
          <w:kern w:val="0"/>
          <w:sz w:val="32"/>
          <w:szCs w:val="32"/>
          <w:lang w:bidi="ar"/>
        </w:rPr>
        <w:t>”</w:t>
      </w:r>
      <w:r>
        <w:rPr>
          <w:rFonts w:eastAsia="仿宋_GB2312"/>
          <w:kern w:val="0"/>
          <w:sz w:val="32"/>
          <w:szCs w:val="32"/>
          <w:lang w:bidi="ar"/>
        </w:rPr>
        <w:t>的随迁子女义务教育入学政策，加快推进随迁子女在公办学校或以政府购买民办学校学位方式入学就读。各地要认真落实《居住证暂行条例》关于在流入地居住半年以上和有合法稳定就业、住所等规定要求，完善随迁子女入学政策，全面清理取消不合规的随迁子女入学证明材料及其时限要求，不得要求提供户籍地无人监护等无谓证明材料；实行积分入学的地方要完善积分规则，切实保障符合《居住证暂行条例》规定条件的随迁子女能在流入地接受义务教育。认真落实随迁子女接受义务教育后在流入地参加中考政策，对回户籍地参加中考的随迁子女，户籍地和流入地教育行政部门要妥善做好考试招生报名服务工作，保障随迁子女能在户籍地顺利参加中考。依法保障能够接受普通教育的适龄残疾儿童少年就近就便随班就读。对烈士子女、现役军人子女及其他各类优抚对象，各地要按国家有关规定切实落实教育优待政策。</w:t>
      </w:r>
    </w:p>
    <w:p>
      <w:pPr>
        <w:spacing w:line="600" w:lineRule="exact"/>
        <w:ind w:firstLine="640" w:firstLineChars="200"/>
      </w:pPr>
      <w:r>
        <w:rPr>
          <w:rFonts w:eastAsia="黑体"/>
          <w:kern w:val="0"/>
          <w:sz w:val="32"/>
          <w:szCs w:val="32"/>
          <w:lang w:bidi="ar"/>
        </w:rPr>
        <w:t>七、规范特殊类型招生。</w:t>
      </w:r>
      <w:r>
        <w:rPr>
          <w:rFonts w:eastAsia="仿宋_GB2312"/>
          <w:sz w:val="32"/>
          <w:szCs w:val="32"/>
        </w:rPr>
        <w:t>所有义务教育学校不得以各类特长生名义进行招生。经市州教育行政部门认定的具备特色办学基础的普通高中可申请自主招生，但要明确学校特色方向、招生数量和相应的招生办法，严格控制招生计划比例（原则上不超过5%），并报省级教育行政部门备案。特长生招生录取应在初中学业水平考试结束后组织进行，除体育、艺术和小语种类型可在设区的市范围内招生外，其他类型在规定的属地范围内招生。要遏制学校利用特长生招生政策进行掐尖招生或假冒特长生违规择校等行为。</w:t>
      </w:r>
      <w:r>
        <w:rPr>
          <w:rFonts w:eastAsia="仿宋_GB2312"/>
          <w:kern w:val="0"/>
          <w:sz w:val="32"/>
          <w:szCs w:val="32"/>
          <w:lang w:bidi="ar"/>
        </w:rPr>
        <w:t>加强外籍人员子女学校招生管理，不得假借民办学校等名义招收中国籍学生。</w:t>
      </w:r>
      <w:r>
        <w:rPr>
          <w:rFonts w:eastAsia="仿宋_GB2312"/>
          <w:kern w:val="0"/>
          <w:sz w:val="31"/>
          <w:szCs w:val="31"/>
          <w:lang w:bidi="ar"/>
        </w:rPr>
        <w:t>义务教育学校不得以</w:t>
      </w:r>
      <w:r>
        <w:rPr>
          <w:kern w:val="0"/>
          <w:sz w:val="31"/>
          <w:szCs w:val="31"/>
          <w:lang w:bidi="ar"/>
        </w:rPr>
        <w:t>“</w:t>
      </w:r>
      <w:r>
        <w:rPr>
          <w:rFonts w:eastAsia="仿宋_GB2312"/>
          <w:kern w:val="0"/>
          <w:sz w:val="31"/>
          <w:szCs w:val="31"/>
          <w:lang w:bidi="ar"/>
        </w:rPr>
        <w:t>国际部</w:t>
      </w:r>
      <w:r>
        <w:rPr>
          <w:kern w:val="0"/>
          <w:sz w:val="31"/>
          <w:szCs w:val="31"/>
          <w:lang w:bidi="ar"/>
        </w:rPr>
        <w:t>”“</w:t>
      </w:r>
      <w:r>
        <w:rPr>
          <w:rFonts w:eastAsia="仿宋_GB2312"/>
          <w:kern w:val="0"/>
          <w:sz w:val="31"/>
          <w:szCs w:val="31"/>
          <w:lang w:bidi="ar"/>
        </w:rPr>
        <w:t>国际课程班</w:t>
      </w:r>
      <w:r>
        <w:rPr>
          <w:kern w:val="0"/>
          <w:sz w:val="31"/>
          <w:szCs w:val="31"/>
          <w:lang w:bidi="ar"/>
        </w:rPr>
        <w:t>”“</w:t>
      </w:r>
      <w:r>
        <w:rPr>
          <w:rFonts w:eastAsia="仿宋_GB2312"/>
          <w:kern w:val="0"/>
          <w:sz w:val="31"/>
          <w:szCs w:val="31"/>
          <w:lang w:bidi="ar"/>
        </w:rPr>
        <w:t>境外班</w:t>
      </w:r>
      <w:r>
        <w:rPr>
          <w:kern w:val="0"/>
          <w:sz w:val="31"/>
          <w:szCs w:val="31"/>
          <w:lang w:bidi="ar"/>
        </w:rPr>
        <w:t>”</w:t>
      </w:r>
      <w:r>
        <w:rPr>
          <w:rFonts w:eastAsia="仿宋_GB2312"/>
          <w:kern w:val="0"/>
          <w:sz w:val="31"/>
          <w:szCs w:val="31"/>
          <w:lang w:bidi="ar"/>
        </w:rPr>
        <w:t>等名义招生。未经省教育厅批准，普通高中不得举办</w:t>
      </w:r>
      <w:r>
        <w:rPr>
          <w:kern w:val="0"/>
          <w:sz w:val="31"/>
          <w:szCs w:val="31"/>
          <w:lang w:bidi="ar"/>
        </w:rPr>
        <w:t>“</w:t>
      </w:r>
      <w:r>
        <w:rPr>
          <w:rFonts w:eastAsia="仿宋_GB2312"/>
          <w:kern w:val="0"/>
          <w:sz w:val="31"/>
          <w:szCs w:val="31"/>
          <w:lang w:bidi="ar"/>
        </w:rPr>
        <w:t>国际部</w:t>
      </w:r>
      <w:r>
        <w:rPr>
          <w:kern w:val="0"/>
          <w:sz w:val="31"/>
          <w:szCs w:val="31"/>
          <w:lang w:bidi="ar"/>
        </w:rPr>
        <w:t>”</w:t>
      </w:r>
      <w:r>
        <w:rPr>
          <w:rFonts w:eastAsia="仿宋_GB2312"/>
          <w:kern w:val="0"/>
          <w:sz w:val="31"/>
          <w:szCs w:val="31"/>
          <w:lang w:bidi="ar"/>
        </w:rPr>
        <w:t>或</w:t>
      </w:r>
      <w:r>
        <w:rPr>
          <w:kern w:val="0"/>
          <w:sz w:val="31"/>
          <w:szCs w:val="31"/>
          <w:lang w:bidi="ar"/>
        </w:rPr>
        <w:t>“</w:t>
      </w:r>
      <w:r>
        <w:rPr>
          <w:rFonts w:eastAsia="仿宋_GB2312"/>
          <w:kern w:val="0"/>
          <w:sz w:val="31"/>
          <w:szCs w:val="31"/>
          <w:lang w:bidi="ar"/>
        </w:rPr>
        <w:t>境外课程班</w:t>
      </w:r>
      <w:r>
        <w:rPr>
          <w:kern w:val="0"/>
          <w:sz w:val="31"/>
          <w:szCs w:val="31"/>
          <w:lang w:bidi="ar"/>
        </w:rPr>
        <w:t>”</w:t>
      </w:r>
      <w:r>
        <w:rPr>
          <w:rFonts w:eastAsia="仿宋_GB2312"/>
          <w:kern w:val="0"/>
          <w:sz w:val="31"/>
          <w:szCs w:val="31"/>
          <w:lang w:bidi="ar"/>
        </w:rPr>
        <w:t>。普通高中</w:t>
      </w:r>
      <w:r>
        <w:rPr>
          <w:kern w:val="0"/>
          <w:sz w:val="31"/>
          <w:szCs w:val="31"/>
          <w:lang w:bidi="ar"/>
        </w:rPr>
        <w:t>“</w:t>
      </w:r>
      <w:r>
        <w:rPr>
          <w:rFonts w:eastAsia="仿宋_GB2312"/>
          <w:kern w:val="0"/>
          <w:sz w:val="31"/>
          <w:szCs w:val="31"/>
          <w:lang w:bidi="ar"/>
        </w:rPr>
        <w:t>国际部</w:t>
      </w:r>
      <w:r>
        <w:rPr>
          <w:kern w:val="0"/>
          <w:sz w:val="31"/>
          <w:szCs w:val="31"/>
          <w:lang w:bidi="ar"/>
        </w:rPr>
        <w:t>”</w:t>
      </w:r>
      <w:r>
        <w:rPr>
          <w:rFonts w:eastAsia="仿宋_GB2312"/>
          <w:kern w:val="0"/>
          <w:sz w:val="31"/>
          <w:szCs w:val="31"/>
          <w:lang w:bidi="ar"/>
        </w:rPr>
        <w:t>或</w:t>
      </w:r>
      <w:r>
        <w:rPr>
          <w:kern w:val="0"/>
          <w:sz w:val="31"/>
          <w:szCs w:val="31"/>
          <w:lang w:bidi="ar"/>
        </w:rPr>
        <w:t>“</w:t>
      </w:r>
      <w:r>
        <w:rPr>
          <w:rFonts w:eastAsia="仿宋_GB2312"/>
          <w:kern w:val="0"/>
          <w:sz w:val="31"/>
          <w:szCs w:val="31"/>
          <w:lang w:bidi="ar"/>
        </w:rPr>
        <w:t>境外课程班</w:t>
      </w:r>
      <w:r>
        <w:rPr>
          <w:kern w:val="0"/>
          <w:sz w:val="31"/>
          <w:szCs w:val="31"/>
          <w:lang w:bidi="ar"/>
        </w:rPr>
        <w:t>”</w:t>
      </w:r>
      <w:r>
        <w:rPr>
          <w:rFonts w:eastAsia="仿宋_GB2312"/>
          <w:kern w:val="0"/>
          <w:sz w:val="31"/>
          <w:szCs w:val="31"/>
          <w:lang w:bidi="ar"/>
        </w:rPr>
        <w:t>纳入统一招生管理，实行计划单列，录取分数应达到同批次学校录取要求，学生就读期间不得转入普通班级。</w:t>
      </w:r>
    </w:p>
    <w:p>
      <w:pPr>
        <w:spacing w:line="600" w:lineRule="exact"/>
        <w:ind w:firstLine="640" w:firstLineChars="200"/>
        <w:rPr>
          <w:rFonts w:eastAsia="仿宋_GB2312"/>
          <w:kern w:val="0"/>
          <w:sz w:val="32"/>
          <w:szCs w:val="32"/>
          <w:lang w:bidi="ar"/>
        </w:rPr>
      </w:pPr>
      <w:r>
        <w:rPr>
          <w:rFonts w:eastAsia="黑体"/>
          <w:kern w:val="0"/>
          <w:sz w:val="32"/>
          <w:szCs w:val="32"/>
          <w:lang w:bidi="ar"/>
        </w:rPr>
        <w:t>八、切实加强组织领导。</w:t>
      </w:r>
      <w:r>
        <w:rPr>
          <w:rFonts w:eastAsia="仿宋_GB2312"/>
          <w:kern w:val="0"/>
          <w:sz w:val="32"/>
          <w:szCs w:val="32"/>
          <w:lang w:bidi="ar"/>
        </w:rPr>
        <w:t>各地要大力推进</w:t>
      </w:r>
      <w:r>
        <w:rPr>
          <w:rFonts w:eastAsia="TimesNewRomanPSMT"/>
          <w:kern w:val="0"/>
          <w:sz w:val="32"/>
          <w:szCs w:val="32"/>
          <w:lang w:bidi="ar"/>
        </w:rPr>
        <w:t>“</w:t>
      </w:r>
      <w:r>
        <w:rPr>
          <w:rFonts w:eastAsia="仿宋_GB2312"/>
          <w:kern w:val="0"/>
          <w:sz w:val="32"/>
          <w:szCs w:val="32"/>
          <w:lang w:bidi="ar"/>
        </w:rPr>
        <w:t>阳光招生</w:t>
      </w:r>
      <w:r>
        <w:rPr>
          <w:rFonts w:eastAsia="TimesNewRomanPSMT"/>
          <w:kern w:val="0"/>
          <w:sz w:val="32"/>
          <w:szCs w:val="32"/>
          <w:lang w:bidi="ar"/>
        </w:rPr>
        <w:t>”</w:t>
      </w:r>
      <w:r>
        <w:rPr>
          <w:rFonts w:eastAsia="仿宋_GB2312"/>
          <w:kern w:val="0"/>
          <w:sz w:val="32"/>
          <w:szCs w:val="32"/>
          <w:lang w:bidi="ar"/>
        </w:rPr>
        <w:t>，积极宣传引导，及时主动公开招生入学相关信息，加强对主要政策和群众关注热点问题的解读工作，引导家长形成合理就学预期，切实发挥社会监督作用。严格落实中小学招生入学</w:t>
      </w:r>
      <w:r>
        <w:rPr>
          <w:rFonts w:eastAsia="TimesNewRomanPSMT"/>
          <w:kern w:val="0"/>
          <w:sz w:val="32"/>
          <w:szCs w:val="32"/>
          <w:lang w:bidi="ar"/>
        </w:rPr>
        <w:t>“</w:t>
      </w:r>
      <w:r>
        <w:rPr>
          <w:rFonts w:eastAsia="仿宋_GB2312"/>
          <w:kern w:val="0"/>
          <w:sz w:val="32"/>
          <w:szCs w:val="32"/>
          <w:lang w:bidi="ar"/>
        </w:rPr>
        <w:t>十项严禁</w:t>
      </w:r>
      <w:r>
        <w:rPr>
          <w:rFonts w:eastAsia="TimesNewRomanPSMT"/>
          <w:kern w:val="0"/>
          <w:sz w:val="32"/>
          <w:szCs w:val="32"/>
          <w:lang w:bidi="ar"/>
        </w:rPr>
        <w:t>”</w:t>
      </w:r>
      <w:r>
        <w:rPr>
          <w:rFonts w:eastAsia="仿宋_GB2312"/>
          <w:kern w:val="0"/>
          <w:sz w:val="32"/>
          <w:szCs w:val="32"/>
          <w:lang w:bidi="ar"/>
        </w:rPr>
        <w:t>规定，畅通举报申诉受理渠道，严肃查处违法违规招生行为。各地要将深入推进义务教育优质均衡发展和普通高中多样化有特色发展作为解决招生入学矛盾问题的治本之策，优先改善、加快提升薄弱学校办学水平，为更好保障适龄儿童少年享有公平优质的基础教育创造条件。</w:t>
      </w:r>
    </w:p>
    <w:p>
      <w:pPr>
        <w:spacing w:line="600" w:lineRule="exact"/>
        <w:ind w:firstLine="640"/>
        <w:rPr>
          <w:rFonts w:eastAsia="仿宋_GB2312"/>
          <w:kern w:val="0"/>
          <w:sz w:val="32"/>
          <w:szCs w:val="32"/>
          <w:lang w:bidi="ar"/>
        </w:rPr>
      </w:pPr>
      <w:r>
        <w:rPr>
          <w:rFonts w:eastAsia="仿宋_GB2312"/>
          <w:kern w:val="0"/>
          <w:sz w:val="32"/>
          <w:szCs w:val="32"/>
          <w:lang w:bidi="ar"/>
        </w:rPr>
        <w:t>各市州教育行政部门要按照通知要求，进一步完善本地中小学生招生入学具体实施办法并做好风险评估，指导县级教育行政部门切实抓好落实工作。各市州于5月</w:t>
      </w:r>
      <w:r>
        <w:rPr>
          <w:rFonts w:hint="eastAsia" w:eastAsia="仿宋_GB2312"/>
          <w:kern w:val="0"/>
          <w:sz w:val="32"/>
          <w:szCs w:val="32"/>
          <w:lang w:bidi="ar"/>
        </w:rPr>
        <w:t>31</w:t>
      </w:r>
      <w:r>
        <w:rPr>
          <w:rFonts w:eastAsia="仿宋_GB2312"/>
          <w:kern w:val="0"/>
          <w:sz w:val="32"/>
          <w:szCs w:val="32"/>
          <w:lang w:bidi="ar"/>
        </w:rPr>
        <w:t>日前将中小学招生工作实施方案报送至省教育厅基础教育处。</w:t>
      </w:r>
    </w:p>
    <w:p>
      <w:pPr>
        <w:spacing w:line="600" w:lineRule="exact"/>
        <w:ind w:firstLine="640" w:firstLineChars="200"/>
        <w:rPr>
          <w:rFonts w:eastAsia="仿宋_GB2312"/>
          <w:kern w:val="0"/>
          <w:sz w:val="32"/>
          <w:szCs w:val="32"/>
          <w:lang w:bidi="ar"/>
        </w:rPr>
      </w:pPr>
      <w:r>
        <w:rPr>
          <w:rFonts w:hint="eastAsia" w:eastAsia="仿宋_GB2312"/>
          <w:kern w:val="0"/>
          <w:sz w:val="32"/>
          <w:szCs w:val="32"/>
          <w:lang w:bidi="ar"/>
        </w:rPr>
        <w:t>本通知自2022年5月24日起施行，有效期一年。</w:t>
      </w:r>
    </w:p>
    <w:p>
      <w:pPr>
        <w:spacing w:line="600" w:lineRule="exact"/>
        <w:ind w:right="1840" w:rightChars="876" w:firstLine="4617" w:firstLineChars="1443"/>
        <w:jc w:val="right"/>
        <w:rPr>
          <w:rFonts w:eastAsia="仿宋_GB2312"/>
          <w:kern w:val="0"/>
          <w:sz w:val="32"/>
          <w:szCs w:val="32"/>
          <w:lang w:bidi="ar"/>
        </w:rPr>
      </w:pPr>
    </w:p>
    <w:p>
      <w:pPr>
        <w:spacing w:line="600" w:lineRule="exact"/>
        <w:ind w:right="1840" w:rightChars="876" w:firstLine="4617" w:firstLineChars="1443"/>
        <w:jc w:val="right"/>
        <w:rPr>
          <w:rFonts w:eastAsia="仿宋_GB2312"/>
          <w:kern w:val="0"/>
          <w:sz w:val="32"/>
          <w:szCs w:val="32"/>
          <w:lang w:bidi="ar"/>
        </w:rPr>
      </w:pPr>
      <w:r>
        <w:rPr>
          <w:rFonts w:eastAsia="仿宋_GB2312"/>
          <w:kern w:val="0"/>
          <w:sz w:val="32"/>
          <w:szCs w:val="32"/>
          <w:lang w:bidi="ar"/>
        </w:rPr>
        <w:t>湖南省教育厅</w:t>
      </w:r>
    </w:p>
    <w:p>
      <w:pPr>
        <w:spacing w:line="600" w:lineRule="exact"/>
        <w:ind w:right="565" w:rightChars="269" w:firstLine="4617" w:firstLineChars="1443"/>
        <w:jc w:val="right"/>
        <w:rPr>
          <w:rFonts w:eastAsia="仿宋_GB2312"/>
          <w:kern w:val="0"/>
          <w:sz w:val="32"/>
          <w:szCs w:val="32"/>
          <w:lang w:bidi="ar"/>
        </w:rPr>
      </w:pPr>
      <w:r>
        <w:rPr>
          <w:rFonts w:eastAsia="仿宋_GB2312"/>
          <w:kern w:val="0"/>
          <w:sz w:val="32"/>
          <w:szCs w:val="32"/>
          <w:lang w:bidi="ar"/>
        </w:rPr>
        <w:t>2022年4月28日</w:t>
      </w:r>
    </w:p>
    <w:p>
      <w:pPr>
        <w:spacing w:line="600" w:lineRule="exact"/>
        <w:ind w:right="1273" w:rightChars="606" w:firstLine="4617" w:firstLineChars="1443"/>
        <w:jc w:val="left"/>
        <w:rPr>
          <w:rFonts w:eastAsia="仿宋_GB2312"/>
          <w:kern w:val="0"/>
          <w:sz w:val="32"/>
          <w:szCs w:val="32"/>
          <w:lang w:bidi="ar"/>
        </w:rPr>
      </w:pPr>
    </w:p>
    <w:p>
      <w:pPr>
        <w:spacing w:line="600" w:lineRule="exact"/>
        <w:ind w:firstLine="640"/>
        <w:rPr>
          <w:rFonts w:eastAsia="仿宋_GB2312"/>
          <w:kern w:val="0"/>
          <w:sz w:val="32"/>
          <w:szCs w:val="32"/>
          <w:lang w:bidi="ar"/>
        </w:rPr>
      </w:pPr>
      <w:r>
        <w:rPr>
          <w:rFonts w:hint="eastAsia" w:eastAsia="仿宋_GB2312"/>
          <w:kern w:val="0"/>
          <w:sz w:val="32"/>
          <w:szCs w:val="32"/>
          <w:lang w:bidi="ar"/>
        </w:rPr>
        <w:t>（此</w:t>
      </w:r>
      <w:r>
        <w:rPr>
          <w:rFonts w:eastAsia="仿宋_GB2312"/>
          <w:kern w:val="0"/>
          <w:sz w:val="32"/>
          <w:szCs w:val="32"/>
          <w:lang w:bidi="ar"/>
        </w:rPr>
        <w:t>件主动公开</w:t>
      </w:r>
      <w:r>
        <w:rPr>
          <w:rFonts w:hint="eastAsia" w:eastAsia="仿宋_GB2312"/>
          <w:kern w:val="0"/>
          <w:sz w:val="32"/>
          <w:szCs w:val="32"/>
          <w:lang w:bidi="ar"/>
        </w:rPr>
        <w:t>）</w:t>
      </w:r>
    </w:p>
    <w:p/>
    <w:sectPr>
      <w:headerReference r:id="rId4" w:type="first"/>
      <w:footerReference r:id="rId5" w:type="default"/>
      <w:headerReference r:id="rId3" w:type="even"/>
      <w:footerReference r:id="rId6"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3"/>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3"/>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DNhNjM5N2YxODM2ZTlkYzE1NGY3ZTAzZTU4MjgifQ=="/>
  </w:docVars>
  <w:rsids>
    <w:rsidRoot w:val="00D14329"/>
    <w:rsid w:val="00320E21"/>
    <w:rsid w:val="00806A87"/>
    <w:rsid w:val="00D14329"/>
    <w:rsid w:val="37D74F64"/>
    <w:rsid w:val="7731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Cambria" w:hAnsi="Cambria"/>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仿宋_GB231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3052</Words>
  <Characters>3088</Characters>
  <Lines>22</Lines>
  <Paragraphs>6</Paragraphs>
  <TotalTime>1</TotalTime>
  <ScaleCrop>false</ScaleCrop>
  <LinksUpToDate>false</LinksUpToDate>
  <CharactersWithSpaces>3091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2022-05-24T02:38:00Z</dcterms:created>
  <dc:creator>Administrator</dc:creator>
  <cp:lastModifiedBy>梦凌</cp:lastModifiedBy>
  <dcterms:modified xsi:type="dcterms:W3CDTF">2022-10-09T03:24:35Z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3C7DF77FDC364BD283705CF7AED05422</vt:lpwstr>
  </property>
</Properties>
</file>