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HNPR－2022－03009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baseline"/>
        <w:rPr>
          <w:rFonts w:hint="eastAsia" w:ascii="Times New Roman" w:hAnsi="Times New Roman" w:eastAsia="方正小标宋简体" w:cs="Times New Roman"/>
          <w:color w:val="FF0000"/>
          <w:spacing w:val="-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center"/>
        <w:textAlignment w:val="baseline"/>
        <w:rPr>
          <w:rFonts w:hint="eastAsia" w:ascii="Times New Roman" w:hAnsi="Times New Roman" w:eastAsia="方正小标宋简体" w:cs="Times New Roman"/>
          <w:color w:val="FF0000"/>
          <w:spacing w:val="-1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湘教发〔202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关于实施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职业教育“楚怡”行动的通知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各市州、县市区人民政府，省政府各厅委、各直属机构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为传承发扬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爱国、求知、创业、兴工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职业教育精神，推动我省职业教育内涵式高质量发展，经省人民政府同意，现就实施职业教育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行动有关事项通知如下。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一、工作目标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年，全省职业教育规模结构更加合理，职业教育类型特色更加鲜明，职业教育发展环境更加优化，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职业教育精神进一步彰显，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品牌效应进一步凸显，职业院校（含技工院校，下同）办学能力和贡献力进一步提升，职业教育适应性和吸引力持续增强，基本建成与湖南经济社会发展相匹配、同人民群众期待相契合的湖南特色现代职业教育体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二、主要任务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（一）传承创新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楚怡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职业教育精神。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职业教育专业智库。建设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职业教育专业智库，深入研究新时代职业教育发展理念、体制、机制和模式，定期开设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职业教育大讲堂，举办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职业教育论坛，为湖南职业教育高质量发展提供决策参考，打造全国知名智库。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文化传承基地。建设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个集传承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职业教育精神、湖湘传统文化教育、职业启蒙教育、劳动实践教育等为一体的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文化传承基地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职业教育文化馆），支持湖南工业职业技术学院、新化县楚怡工业学校建设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文化传承基地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职业教育文化馆）。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培育一批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职业教育精神传承人。以拍摄纪录片、微电影、短视频、出版书籍等方式，深入挖掘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职业教育精神的时代内涵，凝练、提升、创新湖南职业教育发展理念。通过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职业院校技能竞赛、创新创业大赛、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文明风采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活动等平台，发掘并培育一批新时代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职业教育精神传承人。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（二）建设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楚怡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高水平学校。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稳步发展职业本科教育。支持建设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高水平职业本科学校。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夯实高职专科教育主体地位。主要行业和各市州人民政府重点办好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所以上骨干高职高专院校；遴选建设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高水平高职专科院校。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巩固中职教育基础性地位。各县市区重点办好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所以上公办中等职业学校，全省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遴选建设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优秀中职学校。支持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个市州各改扩建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中职学校，并统一命名、统一标识、统一风格。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提高技工教育的实力。遴选建设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优秀技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工院校。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（三）建设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楚怡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高水平专业群。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高水平职业本科专业群。遴选建设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个特色凸显、在全省具有引领示范作用的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高水平职业本科专业群。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高水平高职高专专业群。遴选建设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个特色鲜明、产业支撑能力强的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高水平高职高专专业群。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优质中职专业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个特色突出、服务能力强的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优质中职专业（群）。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优质技工专业（群）。遴选建设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优质技工专业（群）。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（四）建设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楚怡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产教融合创新平台。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产教融合实训基地。支持建设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个集教育教学、职业培训和职业技能竞赛等于一体的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产教融合实训基地，充分发挥基地在科学管理、教学改革、机制创新、生产性实训等方面的示范辐射作用。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培育建设一批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职教集团（联盟）。培育建设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个由政府、行业、企业、职业院校、科研院所和社会组织等多元主体融合参与的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职教集团（联盟），整合集团资源，实现各方合作共赢。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（五）培育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楚怡</w:t>
      </w:r>
      <w:r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高水平教师队伍。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培育一批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教学名师。研究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教学名师培育机制，制定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教学名师遴选办法，培育并打造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教学名师。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FF0000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培育一批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教师教学创新团队。研究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教师教学创新团队培育机制，制定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教师教学创新团队遴选办法，培育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400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教师教学创新团队，推选一批国家级教师教学创新团队。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名师大师工作室。支持校企共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名师大师工作室。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遴选建设一批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工坊（教师技艺技能传承创新平台）。支持校企共建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44546A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工坊，充分发挥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工坊在名师带徒、技艺交流和工匠精神传承等方面的独特作用。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24" w:firstLineChars="200"/>
        <w:textAlignment w:val="baseline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color w:val="000000"/>
          <w:sz w:val="32"/>
          <w:szCs w:val="32"/>
        </w:rPr>
        <w:t>三、组织实施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pacing w:val="-6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省职业教育工作联席会议成员单位按照各自职能职责，扎实推进职业教育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</w:rPr>
        <w:t>行动实施。各市州、县市区要细化分解目标任务，科学安排建设进度，确保各项工作有序完成。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（二）加大经费投入。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建立多元化筹资渠道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。省财政对职业教育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行动给予专项补助，原则上通过统筹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中职学校建设补助资金以及职业教育等相关专项资金落实。同时，统筹用好地方政府专项债券，引导和推动各市州、县市区加大职业教育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行动资金投入。积极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争取社会资金支持。切实加强经费使用管理，提高资金使用绩效。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（三）完善政策环境。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/>
        </w:rPr>
        <w:t>创新政策供给，提高技术技能人才待遇，畅通职业发展通道。各地各有关部门要清理对技术技能人才的歧视性政策，营造技术技能人才汇聚、落地生根的良好政策环境，在住房医疗、子女就学、保险接续等方面向紧缺的技术技能人才适当倾斜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  <w:rPr>
          <w:rFonts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Cs/>
          <w:color w:val="000000"/>
          <w:sz w:val="32"/>
          <w:szCs w:val="32"/>
        </w:rPr>
        <w:t>（四）加强宣传。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将职业教育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楚怡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行动重点任务纳入省政府重点民生实事项目，作为对各市州、县市区教育督导评估的重要内容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分年度对实施情况进行考核督导。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/>
        </w:rPr>
        <w:t>大力推介优秀技术技能人才的典型事迹，弘扬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/>
        </w:rPr>
        <w:t>劳动光荣、技能宝贵、创造伟大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/>
        </w:rPr>
        <w:t>的时代风尚，营造人人参与、齐抓共建的良好氛围。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624" w:firstLineChars="200"/>
        <w:jc w:val="both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firstLine="624" w:firstLineChars="200"/>
        <w:jc w:val="both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lang w:val="en"/>
        </w:rPr>
      </w:pPr>
    </w:p>
    <w:p>
      <w:pPr>
        <w:keepLines w:val="0"/>
        <w:pageBreakBefore w:val="0"/>
        <w:widowControl w:val="0"/>
        <w:tabs>
          <w:tab w:val="left" w:pos="7640"/>
          <w:tab w:val="left" w:pos="8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406" w:rightChars="201" w:firstLine="1199" w:firstLineChars="441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湖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南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教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育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厅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8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</w:rPr>
        <w:t>湖南省发展和改革委员会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                </w:t>
      </w:r>
    </w:p>
    <w:p>
      <w:pPr>
        <w:keepLines w:val="0"/>
        <w:pageBreakBefore w:val="0"/>
        <w:widowControl w:val="0"/>
        <w:tabs>
          <w:tab w:val="left" w:pos="7560"/>
          <w:tab w:val="left" w:pos="8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</w:p>
    <w:p>
      <w:pPr>
        <w:keepLines w:val="0"/>
        <w:pageBreakBefore w:val="0"/>
        <w:widowControl w:val="0"/>
        <w:tabs>
          <w:tab w:val="left" w:pos="7560"/>
          <w:tab w:val="left" w:pos="8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</w:p>
    <w:p>
      <w:pPr>
        <w:keepLines w:val="0"/>
        <w:pageBreakBefore w:val="0"/>
        <w:widowControl w:val="0"/>
        <w:tabs>
          <w:tab w:val="left" w:pos="7560"/>
          <w:tab w:val="left" w:pos="8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</w:p>
    <w:p>
      <w:pPr>
        <w:keepLines w:val="0"/>
        <w:pageBreakBefore w:val="0"/>
        <w:widowControl w:val="0"/>
        <w:tabs>
          <w:tab w:val="left" w:pos="7560"/>
          <w:tab w:val="left" w:pos="8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406" w:rightChars="201" w:firstLine="1199" w:firstLineChars="441"/>
        <w:jc w:val="left"/>
        <w:textAlignment w:val="baseline"/>
        <w:rPr>
          <w:rFonts w:ascii="Times New Roman" w:hAnsi="Times New Roman" w:eastAsia="仿宋_GB2312" w:cs="Times New Roman"/>
          <w:color w:val="000000"/>
          <w:spacing w:val="-2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湖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南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财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政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</w:rPr>
        <w:t>厅</w:t>
      </w: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000000"/>
          <w:spacing w:val="-3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-45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pacing w:val="-23"/>
          <w:sz w:val="32"/>
          <w:szCs w:val="32"/>
        </w:rPr>
        <w:t>湖南省人力资源和社会保障厅</w:t>
      </w:r>
    </w:p>
    <w:p>
      <w:pPr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 w:firstLine="1752" w:firstLineChars="644"/>
        <w:jc w:val="center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 w:firstLine="1752" w:firstLineChars="644"/>
        <w:jc w:val="center"/>
        <w:textAlignment w:val="baseline"/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sz w:val="32"/>
          <w:szCs w:val="32"/>
          <w:lang w:val="en-US" w:eastAsia="zh-CN"/>
        </w:rPr>
        <w:t xml:space="preserve">     </w:t>
      </w:r>
    </w:p>
    <w:p>
      <w:pPr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06" w:rightChars="201"/>
        <w:jc w:val="center"/>
        <w:textAlignment w:val="baseline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</w:rPr>
        <w:t>湖南省住房和城乡建设厅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0" w:firstLineChars="5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2022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60" w:firstLineChars="5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1560" w:firstLineChars="500"/>
        <w:textAlignment w:val="baseline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200"/>
        <w:textAlignment w:val="baseline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此件主动公开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kern w:val="0"/>
          <w:u w:val="none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u w:val="none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60" w:type="dxa"/>
          </w:tcPr>
          <w:p>
            <w:pPr>
              <w:spacing w:line="600" w:lineRule="exact"/>
              <w:ind w:firstLine="272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湖南省教育厅办公室　　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　　　　　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AndChars" w:linePitch="55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3449"/>
    <w:rsid w:val="03FC21BF"/>
    <w:rsid w:val="083C3135"/>
    <w:rsid w:val="09C34CE1"/>
    <w:rsid w:val="1CBE683A"/>
    <w:rsid w:val="1E1B3449"/>
    <w:rsid w:val="206A36A8"/>
    <w:rsid w:val="236F52BA"/>
    <w:rsid w:val="48AB3D5E"/>
    <w:rsid w:val="50155B7A"/>
    <w:rsid w:val="56822D21"/>
    <w:rsid w:val="666D1A14"/>
    <w:rsid w:val="68335042"/>
    <w:rsid w:val="69697CB6"/>
    <w:rsid w:val="77C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??" w:hAnsi="??" w:eastAsia="Times New Roman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2282</Words>
  <Characters>2341</Characters>
  <Lines>0</Lines>
  <Paragraphs>0</Paragraphs>
  <TotalTime>8</TotalTime>
  <ScaleCrop>false</ScaleCrop>
  <LinksUpToDate>false</LinksUpToDate>
  <CharactersWithSpaces>2440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2022-02-22T08:58:00Z</dcterms:created>
  <dc:creator>罗嫔嬛</dc:creator>
  <cp:lastModifiedBy>WPS_1645176080</cp:lastModifiedBy>
  <cp:lastPrinted>2022-04-08T02:25:00Z</cp:lastPrinted>
  <dcterms:modified xsi:type="dcterms:W3CDTF">2022-04-20T02:05:40Z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6534DAFC71C044E98ADC8C9A432E2144</vt:lpwstr>
  </property>
</Properties>
</file>