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000000"/>
          <w:kern w:val="0"/>
          <w:szCs w:val="32"/>
        </w:rPr>
      </w:pPr>
      <w:r>
        <w:rPr>
          <w:rFonts w:eastAsia="仿宋_GB2312"/>
          <w:color w:val="000000"/>
          <w:kern w:val="0"/>
          <w:szCs w:val="32"/>
        </w:rPr>
        <w:t>HNPR</w:t>
      </w:r>
      <w:r>
        <w:rPr>
          <w:rFonts w:hint="eastAsia" w:eastAsia="仿宋_GB2312"/>
          <w:color w:val="000000"/>
          <w:kern w:val="0"/>
          <w:szCs w:val="32"/>
        </w:rPr>
        <w:t>－</w:t>
      </w:r>
      <w:r>
        <w:rPr>
          <w:rFonts w:eastAsia="仿宋_GB2312"/>
          <w:color w:val="000000"/>
          <w:kern w:val="0"/>
          <w:szCs w:val="32"/>
        </w:rPr>
        <w:t>2022</w:t>
      </w:r>
      <w:r>
        <w:rPr>
          <w:rFonts w:hint="eastAsia" w:eastAsia="仿宋_GB2312"/>
          <w:color w:val="000000"/>
          <w:kern w:val="0"/>
          <w:szCs w:val="32"/>
        </w:rPr>
        <w:t>－</w:t>
      </w:r>
      <w:r>
        <w:rPr>
          <w:rFonts w:eastAsia="仿宋_GB2312"/>
          <w:color w:val="000000"/>
          <w:kern w:val="0"/>
          <w:szCs w:val="32"/>
        </w:rPr>
        <w:t xml:space="preserve">03004  </w:t>
      </w:r>
    </w:p>
    <w:p>
      <w:pPr>
        <w:rPr>
          <w:rFonts w:eastAsia="仿宋_GB2312"/>
          <w:szCs w:val="32"/>
        </w:rPr>
      </w:pPr>
    </w:p>
    <w:p>
      <w:pPr>
        <w:rPr>
          <w:rFonts w:eastAsia="仿宋_GB2312"/>
          <w:szCs w:val="32"/>
        </w:rPr>
      </w:pPr>
    </w:p>
    <w:p>
      <w:pPr>
        <w:rPr>
          <w:rFonts w:eastAsia="仿宋_GB2312"/>
          <w:szCs w:val="32"/>
        </w:rPr>
      </w:pPr>
    </w:p>
    <w:p>
      <w:pPr>
        <w:widowControl/>
        <w:shd w:val="clear" w:color="auto" w:fill="FFFFFF"/>
        <w:snapToGrid w:val="0"/>
        <w:jc w:val="center"/>
        <w:rPr>
          <w:rFonts w:eastAsia="方正小标宋简体"/>
          <w:color w:val="000000"/>
          <w:kern w:val="0"/>
          <w:sz w:val="44"/>
        </w:rPr>
      </w:pPr>
    </w:p>
    <w:p>
      <w:pPr>
        <w:widowControl/>
        <w:shd w:val="clear" w:color="auto" w:fill="FFFFFF"/>
        <w:snapToGrid w:val="0"/>
        <w:jc w:val="center"/>
        <w:rPr>
          <w:rFonts w:eastAsia="方正小标宋简体"/>
          <w:color w:val="000000"/>
          <w:kern w:val="0"/>
          <w:sz w:val="44"/>
        </w:rPr>
      </w:pPr>
    </w:p>
    <w:p>
      <w:pPr>
        <w:widowControl/>
        <w:shd w:val="clear" w:color="auto" w:fill="FFFFFF"/>
        <w:snapToGrid w:val="0"/>
        <w:jc w:val="center"/>
        <w:rPr>
          <w:rFonts w:eastAsia="方正小标宋简体"/>
          <w:color w:val="000000"/>
          <w:kern w:val="0"/>
          <w:sz w:val="44"/>
        </w:rPr>
      </w:pPr>
      <w:r>
        <w:rPr>
          <w:rFonts w:eastAsia="方正小标宋简体"/>
          <w:color w:val="000000"/>
          <w:kern w:val="0"/>
          <w:sz w:val="44"/>
        </w:rPr>
        <w:t>关于印发《湖南省五年制</w:t>
      </w:r>
    </w:p>
    <w:p>
      <w:pPr>
        <w:widowControl/>
        <w:shd w:val="clear" w:color="auto" w:fill="FFFFFF"/>
        <w:snapToGrid w:val="0"/>
        <w:jc w:val="center"/>
        <w:rPr>
          <w:rFonts w:eastAsia="方正小标宋简体"/>
          <w:color w:val="000000"/>
          <w:kern w:val="0"/>
          <w:sz w:val="44"/>
        </w:rPr>
      </w:pPr>
      <w:r>
        <w:rPr>
          <w:rFonts w:eastAsia="方正小标宋简体"/>
          <w:color w:val="000000"/>
          <w:kern w:val="0"/>
          <w:sz w:val="44"/>
        </w:rPr>
        <w:t>高等职业教育管理办法》的通知</w:t>
      </w:r>
    </w:p>
    <w:p>
      <w:pPr>
        <w:widowControl/>
        <w:shd w:val="clear" w:color="auto" w:fill="FFFFFF"/>
        <w:snapToGrid w:val="0"/>
        <w:jc w:val="center"/>
        <w:rPr>
          <w:rFonts w:eastAsia="方正小标宋简体"/>
          <w:color w:val="000000"/>
          <w:kern w:val="0"/>
          <w:sz w:val="44"/>
        </w:rPr>
      </w:pPr>
    </w:p>
    <w:p>
      <w:pPr>
        <w:spacing w:line="600" w:lineRule="exact"/>
        <w:rPr>
          <w:rFonts w:eastAsia="仿宋_GB2312"/>
          <w:color w:val="000000"/>
          <w:kern w:val="0"/>
          <w:szCs w:val="32"/>
        </w:rPr>
      </w:pPr>
      <w:r>
        <w:rPr>
          <w:rFonts w:eastAsia="仿宋_GB2312"/>
          <w:color w:val="000000"/>
          <w:kern w:val="0"/>
          <w:szCs w:val="32"/>
        </w:rPr>
        <w:t>各</w:t>
      </w:r>
      <w:r>
        <w:rPr>
          <w:rFonts w:hint="eastAsia" w:eastAsia="仿宋_GB2312"/>
          <w:color w:val="000000"/>
          <w:kern w:val="0"/>
          <w:szCs w:val="32"/>
        </w:rPr>
        <w:t>市州教育（体）局、有关</w:t>
      </w:r>
      <w:r>
        <w:rPr>
          <w:rFonts w:eastAsia="仿宋_GB2312"/>
          <w:color w:val="000000"/>
          <w:kern w:val="0"/>
          <w:szCs w:val="32"/>
        </w:rPr>
        <w:t>高等职业学校：</w:t>
      </w:r>
    </w:p>
    <w:p>
      <w:pPr>
        <w:spacing w:line="640" w:lineRule="exact"/>
        <w:ind w:firstLine="624" w:firstLineChars="200"/>
        <w:jc w:val="left"/>
        <w:outlineLvl w:val="0"/>
        <w:rPr>
          <w:rFonts w:eastAsia="仿宋_GB2312"/>
          <w:color w:val="000000"/>
          <w:kern w:val="0"/>
          <w:szCs w:val="32"/>
        </w:rPr>
      </w:pPr>
      <w:r>
        <w:rPr>
          <w:rFonts w:eastAsia="仿宋_GB2312"/>
          <w:color w:val="000000"/>
          <w:kern w:val="0"/>
          <w:szCs w:val="32"/>
        </w:rPr>
        <w:t>现将《湖南省五年制高等职业教育管理办法》印发给你们，请结合实际，认真贯彻执行。</w:t>
      </w:r>
    </w:p>
    <w:p>
      <w:pPr>
        <w:spacing w:line="600" w:lineRule="exact"/>
        <w:ind w:firstLine="5304" w:firstLineChars="1700"/>
        <w:jc w:val="left"/>
        <w:outlineLvl w:val="0"/>
        <w:rPr>
          <w:rFonts w:eastAsia="仿宋_GB2312"/>
          <w:color w:val="000000"/>
          <w:kern w:val="0"/>
          <w:szCs w:val="32"/>
        </w:rPr>
      </w:pPr>
    </w:p>
    <w:p>
      <w:pPr>
        <w:spacing w:line="600" w:lineRule="exact"/>
        <w:ind w:firstLine="5304" w:firstLineChars="1700"/>
        <w:jc w:val="left"/>
        <w:outlineLvl w:val="0"/>
        <w:rPr>
          <w:rFonts w:eastAsia="仿宋_GB2312"/>
          <w:color w:val="000000"/>
          <w:kern w:val="0"/>
          <w:szCs w:val="32"/>
        </w:rPr>
      </w:pPr>
    </w:p>
    <w:p>
      <w:pPr>
        <w:spacing w:line="600" w:lineRule="exact"/>
        <w:ind w:right="1556" w:rightChars="499" w:firstLine="3685" w:firstLineChars="1181"/>
        <w:jc w:val="right"/>
        <w:outlineLvl w:val="0"/>
        <w:rPr>
          <w:rFonts w:eastAsia="仿宋_GB2312"/>
          <w:color w:val="000000"/>
          <w:kern w:val="0"/>
          <w:szCs w:val="32"/>
        </w:rPr>
      </w:pPr>
      <w:r>
        <w:rPr>
          <w:rFonts w:eastAsia="仿宋_GB2312"/>
          <w:color w:val="000000"/>
          <w:kern w:val="0"/>
          <w:szCs w:val="32"/>
        </w:rPr>
        <w:t>湖南省教育厅</w:t>
      </w:r>
    </w:p>
    <w:p>
      <w:pPr>
        <w:spacing w:line="600" w:lineRule="exact"/>
        <w:ind w:right="1272" w:rightChars="408" w:firstLine="4992" w:firstLineChars="1600"/>
        <w:jc w:val="right"/>
        <w:outlineLvl w:val="0"/>
        <w:rPr>
          <w:rFonts w:eastAsia="仿宋_GB2312"/>
          <w:color w:val="000000"/>
          <w:kern w:val="0"/>
          <w:szCs w:val="32"/>
        </w:rPr>
      </w:pPr>
      <w:r>
        <w:rPr>
          <w:rFonts w:eastAsia="仿宋_GB2312"/>
          <w:color w:val="000000"/>
          <w:kern w:val="0"/>
          <w:szCs w:val="32"/>
        </w:rPr>
        <w:t>2021年1</w:t>
      </w:r>
      <w:r>
        <w:rPr>
          <w:rFonts w:hint="eastAsia" w:eastAsia="仿宋_GB2312"/>
          <w:color w:val="000000"/>
          <w:kern w:val="0"/>
          <w:szCs w:val="32"/>
        </w:rPr>
        <w:t>2</w:t>
      </w:r>
      <w:r>
        <w:rPr>
          <w:rFonts w:eastAsia="仿宋_GB2312"/>
          <w:color w:val="000000"/>
          <w:kern w:val="0"/>
          <w:szCs w:val="32"/>
        </w:rPr>
        <w:t>月31日</w:t>
      </w:r>
    </w:p>
    <w:p>
      <w:pPr>
        <w:spacing w:line="640" w:lineRule="exact"/>
        <w:ind w:firstLine="624" w:firstLineChars="200"/>
        <w:jc w:val="left"/>
        <w:outlineLvl w:val="0"/>
        <w:rPr>
          <w:rFonts w:eastAsia="仿宋_GB2312"/>
          <w:color w:val="000000"/>
          <w:kern w:val="0"/>
          <w:szCs w:val="32"/>
        </w:rPr>
      </w:pPr>
      <w:r>
        <w:rPr>
          <w:rFonts w:eastAsia="仿宋_GB2312"/>
          <w:color w:val="000000"/>
          <w:kern w:val="0"/>
          <w:szCs w:val="32"/>
        </w:rPr>
        <w:t>（此件主动公开）</w:t>
      </w:r>
    </w:p>
    <w:p>
      <w:pPr>
        <w:rPr>
          <w:rFonts w:eastAsia="方正小标宋简体"/>
          <w:color w:val="000000"/>
          <w:kern w:val="0"/>
          <w:sz w:val="44"/>
        </w:rPr>
      </w:pPr>
      <w:r>
        <w:rPr>
          <w:rFonts w:eastAsia="方正小标宋简体"/>
          <w:color w:val="000000"/>
          <w:kern w:val="0"/>
          <w:sz w:val="44"/>
        </w:rPr>
        <w:br w:type="page"/>
      </w:r>
    </w:p>
    <w:p>
      <w:pPr>
        <w:spacing w:line="600" w:lineRule="exact"/>
        <w:jc w:val="center"/>
        <w:outlineLvl w:val="0"/>
        <w:rPr>
          <w:rFonts w:eastAsia="方正小标宋简体"/>
          <w:color w:val="000000"/>
          <w:kern w:val="0"/>
          <w:sz w:val="44"/>
        </w:rPr>
      </w:pPr>
      <w:r>
        <w:rPr>
          <w:rFonts w:eastAsia="方正小标宋简体"/>
          <w:color w:val="000000"/>
          <w:kern w:val="0"/>
          <w:sz w:val="44"/>
        </w:rPr>
        <w:t>湖南省五年制高等职业教育管理办法</w:t>
      </w:r>
    </w:p>
    <w:p>
      <w:pPr>
        <w:spacing w:line="600" w:lineRule="exact"/>
        <w:jc w:val="center"/>
        <w:rPr>
          <w:rFonts w:ascii="楷体_GB2312" w:eastAsia="楷体_GB2312"/>
          <w:bCs/>
          <w:color w:val="000000"/>
          <w:kern w:val="0"/>
        </w:rPr>
      </w:pPr>
    </w:p>
    <w:p>
      <w:pPr>
        <w:pStyle w:val="3"/>
        <w:spacing w:before="0" w:beforeLines="0" w:after="0" w:afterLines="0" w:line="600" w:lineRule="exact"/>
        <w:rPr>
          <w:rFonts w:ascii="Times New Roman" w:hAnsi="Times New Roman"/>
          <w:color w:val="000000"/>
          <w:kern w:val="0"/>
        </w:rPr>
      </w:pPr>
      <w:r>
        <w:rPr>
          <w:rFonts w:ascii="Times New Roman" w:hAnsi="Times New Roman" w:eastAsia="黑体"/>
          <w:color w:val="000000"/>
          <w:kern w:val="0"/>
        </w:rPr>
        <w:t>第一章  总  则</w:t>
      </w:r>
    </w:p>
    <w:p>
      <w:pPr>
        <w:spacing w:line="600" w:lineRule="exact"/>
        <w:ind w:firstLine="624" w:firstLineChars="200"/>
        <w:rPr>
          <w:rFonts w:eastAsia="仿宋_GB2312"/>
          <w:color w:val="000000"/>
          <w:kern w:val="0"/>
          <w:szCs w:val="32"/>
        </w:rPr>
      </w:pPr>
      <w:r>
        <w:rPr>
          <w:rFonts w:eastAsia="黑体"/>
          <w:color w:val="000000"/>
          <w:kern w:val="0"/>
          <w:szCs w:val="32"/>
        </w:rPr>
        <w:t>第一条</w:t>
      </w:r>
      <w:r>
        <w:rPr>
          <w:rFonts w:eastAsia="仿宋_GB2312"/>
          <w:color w:val="000000"/>
          <w:kern w:val="0"/>
          <w:szCs w:val="32"/>
        </w:rPr>
        <w:t xml:space="preserve">  为贯彻落实湖南省人民政府《关于印发湖南省职业教育改革实施方案的通知》（湘政发〔2020〕2号）精神，加快建设新时代湖南</w:t>
      </w:r>
      <w:r>
        <w:rPr>
          <w:rFonts w:hint="eastAsia" w:eastAsia="仿宋_GB2312"/>
          <w:color w:val="000000"/>
          <w:kern w:val="0"/>
          <w:szCs w:val="32"/>
        </w:rPr>
        <w:t>现代</w:t>
      </w:r>
      <w:r>
        <w:rPr>
          <w:rFonts w:eastAsia="仿宋_GB2312"/>
          <w:color w:val="000000"/>
          <w:kern w:val="0"/>
          <w:szCs w:val="32"/>
        </w:rPr>
        <w:t>职业教育体系，进一步</w:t>
      </w:r>
      <w:r>
        <w:rPr>
          <w:rFonts w:hint="eastAsia" w:eastAsia="仿宋_GB2312"/>
          <w:color w:val="000000"/>
          <w:kern w:val="0"/>
          <w:szCs w:val="32"/>
        </w:rPr>
        <w:t>加强和</w:t>
      </w:r>
      <w:r>
        <w:rPr>
          <w:rFonts w:eastAsia="仿宋_GB2312"/>
          <w:color w:val="000000"/>
          <w:kern w:val="0"/>
          <w:szCs w:val="32"/>
        </w:rPr>
        <w:t>完善五年制高等职业教育（以下简称五年制高职）管理，</w:t>
      </w:r>
      <w:r>
        <w:rPr>
          <w:rFonts w:hint="eastAsia" w:eastAsia="仿宋_GB2312"/>
          <w:color w:val="000000"/>
          <w:kern w:val="0"/>
          <w:szCs w:val="32"/>
        </w:rPr>
        <w:t>引导</w:t>
      </w:r>
      <w:r>
        <w:rPr>
          <w:rFonts w:eastAsia="仿宋_GB2312"/>
          <w:color w:val="000000"/>
          <w:kern w:val="0"/>
          <w:szCs w:val="32"/>
        </w:rPr>
        <w:t>五年制高职规模、结构、质量、效益协调发展，更好地服务全省经济社会发展，特制定本办法。</w:t>
      </w:r>
    </w:p>
    <w:p>
      <w:pPr>
        <w:spacing w:line="600" w:lineRule="exact"/>
        <w:ind w:firstLine="624" w:firstLineChars="200"/>
        <w:rPr>
          <w:rFonts w:eastAsia="仿宋_GB2312"/>
          <w:color w:val="000000"/>
          <w:kern w:val="0"/>
          <w:szCs w:val="32"/>
        </w:rPr>
      </w:pPr>
      <w:r>
        <w:rPr>
          <w:rFonts w:eastAsia="黑体"/>
          <w:color w:val="000000"/>
          <w:kern w:val="0"/>
          <w:szCs w:val="32"/>
        </w:rPr>
        <w:t>第二条</w:t>
      </w:r>
      <w:r>
        <w:rPr>
          <w:rFonts w:eastAsia="仿宋_GB2312"/>
          <w:color w:val="000000"/>
          <w:kern w:val="0"/>
          <w:szCs w:val="32"/>
        </w:rPr>
        <w:t xml:space="preserve">  </w:t>
      </w:r>
      <w:r>
        <w:rPr>
          <w:rFonts w:hint="eastAsia" w:eastAsia="仿宋_GB2312"/>
          <w:color w:val="000000"/>
          <w:kern w:val="0"/>
          <w:szCs w:val="32"/>
        </w:rPr>
        <w:t>本办法所称的</w:t>
      </w:r>
      <w:r>
        <w:rPr>
          <w:rFonts w:eastAsia="仿宋_GB2312"/>
          <w:color w:val="000000"/>
          <w:kern w:val="0"/>
          <w:szCs w:val="32"/>
        </w:rPr>
        <w:t>五年制高职是指</w:t>
      </w:r>
      <w:r>
        <w:rPr>
          <w:rFonts w:hint="eastAsia" w:eastAsia="仿宋_GB2312"/>
          <w:color w:val="000000"/>
          <w:kern w:val="0"/>
          <w:szCs w:val="32"/>
        </w:rPr>
        <w:t>应届初中毕业起点、学制五年、中高职衔接培养专科层次高素质技能型人才的全日制高等职业技术教育。五年制高职培养形式分为三二分段制和五年一贯制。三二分段制是指学生在中等职业学校（以下简称中职学校）学习三年、转段后在相关高职高专院校（以下简称高职学院）学习两年的培养形式；五年一贯制是指由高职学院独立举办且学生在高职学院连续学习5年的培养形式。</w:t>
      </w:r>
    </w:p>
    <w:p>
      <w:pPr>
        <w:spacing w:line="600" w:lineRule="exact"/>
        <w:ind w:firstLine="624" w:firstLineChars="200"/>
        <w:rPr>
          <w:rFonts w:eastAsia="仿宋_GB2312"/>
          <w:strike/>
          <w:color w:val="000000"/>
          <w:kern w:val="0"/>
          <w:szCs w:val="32"/>
        </w:rPr>
      </w:pPr>
      <w:r>
        <w:rPr>
          <w:rFonts w:eastAsia="黑体"/>
          <w:color w:val="000000"/>
          <w:kern w:val="0"/>
          <w:szCs w:val="32"/>
        </w:rPr>
        <w:t>第三条</w:t>
      </w:r>
      <w:r>
        <w:rPr>
          <w:rFonts w:eastAsia="仿宋_GB2312"/>
          <w:color w:val="000000"/>
          <w:kern w:val="0"/>
          <w:szCs w:val="32"/>
        </w:rPr>
        <w:t xml:space="preserve">  五年制高职</w:t>
      </w:r>
      <w:r>
        <w:rPr>
          <w:rFonts w:hint="eastAsia" w:eastAsia="仿宋_GB2312"/>
          <w:color w:val="000000"/>
          <w:kern w:val="0"/>
          <w:szCs w:val="32"/>
        </w:rPr>
        <w:t>教育</w:t>
      </w:r>
      <w:r>
        <w:rPr>
          <w:rFonts w:eastAsia="仿宋_GB2312"/>
          <w:color w:val="000000"/>
          <w:kern w:val="0"/>
          <w:szCs w:val="32"/>
        </w:rPr>
        <w:t>坚持</w:t>
      </w:r>
      <w:r>
        <w:rPr>
          <w:rFonts w:hint="eastAsia" w:eastAsia="仿宋_GB2312"/>
          <w:color w:val="000000"/>
          <w:kern w:val="0"/>
          <w:szCs w:val="32"/>
        </w:rPr>
        <w:t>适应需求、</w:t>
      </w:r>
      <w:r>
        <w:rPr>
          <w:rFonts w:eastAsia="仿宋_GB2312"/>
          <w:color w:val="000000"/>
          <w:kern w:val="0"/>
          <w:szCs w:val="32"/>
        </w:rPr>
        <w:t>统筹规划、系统培养、重在质量</w:t>
      </w:r>
      <w:r>
        <w:rPr>
          <w:rFonts w:hint="eastAsia" w:eastAsia="仿宋_GB2312"/>
          <w:color w:val="000000"/>
          <w:kern w:val="0"/>
          <w:szCs w:val="32"/>
        </w:rPr>
        <w:t>的原则</w:t>
      </w:r>
      <w:r>
        <w:rPr>
          <w:rFonts w:eastAsia="仿宋_GB2312"/>
          <w:color w:val="000000"/>
          <w:kern w:val="0"/>
          <w:szCs w:val="32"/>
        </w:rPr>
        <w:t>，</w:t>
      </w:r>
      <w:r>
        <w:rPr>
          <w:rFonts w:hint="eastAsia" w:eastAsia="仿宋_GB2312"/>
          <w:color w:val="000000"/>
          <w:kern w:val="0"/>
          <w:szCs w:val="32"/>
        </w:rPr>
        <w:t>全面贯彻党的</w:t>
      </w:r>
      <w:r>
        <w:rPr>
          <w:rFonts w:eastAsia="仿宋_GB2312"/>
          <w:color w:val="000000"/>
          <w:kern w:val="0"/>
          <w:szCs w:val="32"/>
        </w:rPr>
        <w:t>教育方针</w:t>
      </w:r>
      <w:r>
        <w:rPr>
          <w:rFonts w:hint="eastAsia" w:eastAsia="仿宋_GB2312"/>
          <w:color w:val="000000"/>
          <w:kern w:val="0"/>
          <w:szCs w:val="32"/>
        </w:rPr>
        <w:t>，遵循</w:t>
      </w:r>
      <w:r>
        <w:rPr>
          <w:rFonts w:eastAsia="仿宋_GB2312"/>
          <w:color w:val="000000"/>
          <w:kern w:val="0"/>
          <w:szCs w:val="32"/>
        </w:rPr>
        <w:t>教育教学规律和</w:t>
      </w:r>
      <w:r>
        <w:rPr>
          <w:rFonts w:hint="eastAsia" w:eastAsia="仿宋_GB2312"/>
          <w:color w:val="000000"/>
          <w:kern w:val="0"/>
          <w:szCs w:val="32"/>
        </w:rPr>
        <w:t>技术</w:t>
      </w:r>
      <w:r>
        <w:rPr>
          <w:rFonts w:eastAsia="仿宋_GB2312"/>
          <w:color w:val="000000"/>
          <w:kern w:val="0"/>
          <w:szCs w:val="32"/>
        </w:rPr>
        <w:t>技能人才成长规律，着眼于区域经济社会发展需求和</w:t>
      </w:r>
      <w:r>
        <w:rPr>
          <w:rFonts w:hint="eastAsia" w:eastAsia="仿宋_GB2312"/>
          <w:color w:val="000000"/>
          <w:kern w:val="0"/>
          <w:szCs w:val="32"/>
        </w:rPr>
        <w:t>产业结构调整与升级</w:t>
      </w:r>
      <w:r>
        <w:rPr>
          <w:rFonts w:eastAsia="仿宋_GB2312"/>
          <w:color w:val="000000"/>
          <w:kern w:val="0"/>
          <w:szCs w:val="32"/>
        </w:rPr>
        <w:t>需要，以专业</w:t>
      </w:r>
      <w:r>
        <w:rPr>
          <w:rFonts w:hint="eastAsia" w:eastAsia="仿宋_GB2312"/>
          <w:color w:val="000000"/>
          <w:kern w:val="0"/>
          <w:szCs w:val="32"/>
        </w:rPr>
        <w:t>（群）</w:t>
      </w:r>
      <w:r>
        <w:rPr>
          <w:rFonts w:eastAsia="仿宋_GB2312"/>
          <w:color w:val="000000"/>
          <w:kern w:val="0"/>
          <w:szCs w:val="32"/>
        </w:rPr>
        <w:t>为纽带实现</w:t>
      </w:r>
      <w:r>
        <w:rPr>
          <w:rFonts w:hint="eastAsia" w:eastAsia="仿宋_GB2312"/>
          <w:color w:val="000000"/>
          <w:kern w:val="0"/>
          <w:szCs w:val="32"/>
        </w:rPr>
        <w:t>中高等职业教育有机衔接，共同推进“三教”改革，确保人才培养质量</w:t>
      </w:r>
      <w:r>
        <w:rPr>
          <w:rFonts w:eastAsia="仿宋_GB2312"/>
          <w:color w:val="000000"/>
          <w:kern w:val="0"/>
          <w:szCs w:val="32"/>
        </w:rPr>
        <w:t>。</w:t>
      </w:r>
    </w:p>
    <w:p>
      <w:pPr>
        <w:spacing w:line="600" w:lineRule="exact"/>
        <w:ind w:firstLine="624" w:firstLineChars="200"/>
        <w:rPr>
          <w:rFonts w:eastAsia="仿宋_GB2312"/>
          <w:color w:val="000000"/>
          <w:kern w:val="0"/>
          <w:szCs w:val="32"/>
        </w:rPr>
      </w:pPr>
      <w:r>
        <w:rPr>
          <w:rFonts w:eastAsia="黑体"/>
          <w:color w:val="000000"/>
          <w:kern w:val="0"/>
          <w:szCs w:val="32"/>
        </w:rPr>
        <w:t>第四条</w:t>
      </w:r>
      <w:r>
        <w:rPr>
          <w:rFonts w:eastAsia="仿宋_GB2312"/>
          <w:color w:val="000000"/>
          <w:kern w:val="0"/>
          <w:szCs w:val="32"/>
        </w:rPr>
        <w:t xml:space="preserve">  </w:t>
      </w:r>
      <w:r>
        <w:rPr>
          <w:rFonts w:hint="eastAsia" w:eastAsia="仿宋_GB2312"/>
          <w:color w:val="000000"/>
          <w:spacing w:val="-4"/>
          <w:kern w:val="0"/>
          <w:szCs w:val="32"/>
        </w:rPr>
        <w:t>省级教育行政部门</w:t>
      </w:r>
      <w:r>
        <w:rPr>
          <w:rFonts w:eastAsia="仿宋_GB2312"/>
          <w:color w:val="000000"/>
          <w:spacing w:val="-4"/>
          <w:kern w:val="0"/>
          <w:szCs w:val="32"/>
        </w:rPr>
        <w:t>负责对全省五年制高职进行统筹规划、指导、调控和监督。市州人民政府</w:t>
      </w:r>
      <w:r>
        <w:rPr>
          <w:rFonts w:hint="eastAsia" w:eastAsia="仿宋_GB2312"/>
          <w:color w:val="000000"/>
          <w:spacing w:val="-4"/>
          <w:kern w:val="0"/>
          <w:szCs w:val="32"/>
        </w:rPr>
        <w:t>负责</w:t>
      </w:r>
      <w:r>
        <w:rPr>
          <w:rFonts w:eastAsia="仿宋_GB2312"/>
          <w:color w:val="000000"/>
          <w:spacing w:val="-4"/>
          <w:kern w:val="0"/>
          <w:szCs w:val="32"/>
        </w:rPr>
        <w:t>统筹规划本</w:t>
      </w:r>
      <w:r>
        <w:rPr>
          <w:rFonts w:hint="eastAsia" w:eastAsia="仿宋_GB2312"/>
          <w:color w:val="000000"/>
          <w:spacing w:val="-4"/>
          <w:kern w:val="0"/>
          <w:szCs w:val="32"/>
        </w:rPr>
        <w:t>行政区划内</w:t>
      </w:r>
      <w:r>
        <w:rPr>
          <w:rFonts w:eastAsia="仿宋_GB2312"/>
          <w:color w:val="000000"/>
          <w:spacing w:val="-4"/>
          <w:kern w:val="0"/>
          <w:szCs w:val="32"/>
        </w:rPr>
        <w:t>五年制高职发展</w:t>
      </w:r>
      <w:r>
        <w:rPr>
          <w:rFonts w:hint="eastAsia" w:eastAsia="仿宋_GB2312"/>
          <w:color w:val="000000"/>
          <w:spacing w:val="-4"/>
          <w:kern w:val="0"/>
          <w:szCs w:val="32"/>
        </w:rPr>
        <w:t>并提供保障条件，</w:t>
      </w:r>
      <w:r>
        <w:rPr>
          <w:rFonts w:eastAsia="仿宋_GB2312"/>
          <w:color w:val="000000"/>
          <w:spacing w:val="-4"/>
          <w:kern w:val="0"/>
          <w:szCs w:val="32"/>
        </w:rPr>
        <w:t>市州教育</w:t>
      </w:r>
      <w:r>
        <w:rPr>
          <w:rFonts w:hint="eastAsia" w:eastAsia="仿宋_GB2312"/>
          <w:color w:val="000000"/>
          <w:spacing w:val="-4"/>
          <w:kern w:val="0"/>
          <w:szCs w:val="32"/>
        </w:rPr>
        <w:t>行政部门负责</w:t>
      </w:r>
      <w:r>
        <w:rPr>
          <w:rFonts w:eastAsia="仿宋_GB2312"/>
          <w:color w:val="000000"/>
          <w:spacing w:val="-4"/>
          <w:kern w:val="0"/>
          <w:szCs w:val="32"/>
        </w:rPr>
        <w:t>指导、协调本</w:t>
      </w:r>
      <w:r>
        <w:rPr>
          <w:rFonts w:hint="eastAsia" w:eastAsia="仿宋_GB2312"/>
          <w:color w:val="000000"/>
          <w:spacing w:val="-4"/>
          <w:kern w:val="0"/>
          <w:szCs w:val="32"/>
        </w:rPr>
        <w:t>行政区划内</w:t>
      </w:r>
      <w:r>
        <w:rPr>
          <w:rFonts w:eastAsia="仿宋_GB2312"/>
          <w:color w:val="000000"/>
          <w:spacing w:val="-4"/>
          <w:kern w:val="0"/>
          <w:szCs w:val="32"/>
        </w:rPr>
        <w:t>五年制高职发展</w:t>
      </w:r>
      <w:r>
        <w:rPr>
          <w:rFonts w:hint="eastAsia" w:eastAsia="仿宋_GB2312"/>
          <w:color w:val="000000"/>
          <w:spacing w:val="-4"/>
          <w:kern w:val="0"/>
          <w:szCs w:val="32"/>
        </w:rPr>
        <w:t>并</w:t>
      </w:r>
      <w:r>
        <w:rPr>
          <w:rFonts w:eastAsia="仿宋_GB2312"/>
          <w:color w:val="000000"/>
          <w:spacing w:val="-4"/>
          <w:kern w:val="0"/>
          <w:szCs w:val="32"/>
        </w:rPr>
        <w:t>履行相关管理职责。</w:t>
      </w:r>
    </w:p>
    <w:p>
      <w:pPr>
        <w:pStyle w:val="3"/>
        <w:spacing w:before="0" w:beforeLines="0" w:after="0" w:afterLines="0" w:line="600" w:lineRule="exact"/>
        <w:rPr>
          <w:rFonts w:ascii="Times New Roman" w:hAnsi="Times New Roman" w:eastAsia="黑体"/>
          <w:color w:val="000000"/>
          <w:kern w:val="0"/>
        </w:rPr>
      </w:pPr>
      <w:r>
        <w:rPr>
          <w:rFonts w:ascii="Times New Roman" w:hAnsi="Times New Roman" w:eastAsia="黑体"/>
          <w:color w:val="000000"/>
          <w:kern w:val="0"/>
        </w:rPr>
        <w:t>第二章  办学主体</w:t>
      </w:r>
    </w:p>
    <w:p>
      <w:pPr>
        <w:spacing w:line="600" w:lineRule="exact"/>
        <w:ind w:firstLine="624" w:firstLineChars="200"/>
        <w:rPr>
          <w:rFonts w:eastAsia="仿宋_GB2312"/>
          <w:color w:val="000000"/>
          <w:kern w:val="0"/>
          <w:szCs w:val="32"/>
        </w:rPr>
      </w:pPr>
      <w:r>
        <w:rPr>
          <w:rFonts w:eastAsia="黑体"/>
          <w:color w:val="000000"/>
          <w:kern w:val="0"/>
          <w:szCs w:val="32"/>
        </w:rPr>
        <w:t>第五条</w:t>
      </w:r>
      <w:r>
        <w:rPr>
          <w:rFonts w:eastAsia="仿宋_GB2312"/>
          <w:color w:val="000000"/>
          <w:kern w:val="0"/>
          <w:szCs w:val="32"/>
        </w:rPr>
        <w:t xml:space="preserve">  </w:t>
      </w:r>
      <w:r>
        <w:rPr>
          <w:rFonts w:hint="eastAsia" w:eastAsia="仿宋_GB2312"/>
          <w:color w:val="000000"/>
          <w:kern w:val="0"/>
          <w:szCs w:val="32"/>
        </w:rPr>
        <w:t>三二分段制由中高职合作举办，中职学校负责招生和前三年的人才培养工作，高职学院负责转段考（审）核及后两年的人才培养工作。五年一贯制由高职院校独立举办。</w:t>
      </w:r>
    </w:p>
    <w:p>
      <w:pPr>
        <w:spacing w:line="600" w:lineRule="exact"/>
        <w:ind w:firstLine="624" w:firstLineChars="200"/>
        <w:rPr>
          <w:rFonts w:eastAsia="仿宋_GB2312"/>
          <w:color w:val="000000"/>
          <w:kern w:val="0"/>
          <w:szCs w:val="32"/>
        </w:rPr>
      </w:pPr>
      <w:r>
        <w:rPr>
          <w:rFonts w:hint="eastAsia" w:eastAsia="黑体"/>
          <w:color w:val="000000"/>
          <w:kern w:val="0"/>
          <w:szCs w:val="32"/>
        </w:rPr>
        <w:t>第六条</w:t>
      </w:r>
      <w:r>
        <w:rPr>
          <w:rFonts w:hint="eastAsia" w:eastAsia="仿宋_GB2312"/>
          <w:color w:val="000000"/>
          <w:kern w:val="0"/>
          <w:szCs w:val="32"/>
        </w:rPr>
        <w:t xml:space="preserve">  中高职合作举办三二分段制，中职学校</w:t>
      </w:r>
      <w:r>
        <w:rPr>
          <w:rFonts w:eastAsia="仿宋_GB2312"/>
          <w:color w:val="000000"/>
          <w:kern w:val="0"/>
          <w:szCs w:val="32"/>
          <w:lang w:val="en"/>
        </w:rPr>
        <w:t>的校园面积、校舍面积、专任教师总数、在校生规模等基本</w:t>
      </w:r>
      <w:r>
        <w:rPr>
          <w:rFonts w:hint="eastAsia" w:eastAsia="仿宋_GB2312"/>
          <w:color w:val="000000"/>
          <w:kern w:val="0"/>
          <w:szCs w:val="32"/>
        </w:rPr>
        <w:t>办学条件达到湖南省教育厅《关于印发&lt;湖南省中等职业学校设置管理办法&gt;的通知》（湘教发</w:t>
      </w:r>
      <w:r>
        <w:rPr>
          <w:rFonts w:hint="eastAsia" w:ascii="仿宋" w:hAnsi="仿宋" w:eastAsia="仿宋" w:cs="仿宋"/>
          <w:szCs w:val="32"/>
        </w:rPr>
        <w:t>〔</w:t>
      </w:r>
      <w:r>
        <w:rPr>
          <w:rFonts w:hint="eastAsia" w:eastAsia="仿宋_GB2312"/>
          <w:color w:val="000000"/>
          <w:kern w:val="0"/>
          <w:szCs w:val="32"/>
        </w:rPr>
        <w:t>2020</w:t>
      </w:r>
      <w:r>
        <w:rPr>
          <w:rFonts w:hint="eastAsia" w:ascii="仿宋" w:hAnsi="仿宋" w:eastAsia="仿宋" w:cs="仿宋"/>
          <w:szCs w:val="32"/>
        </w:rPr>
        <w:t>〕</w:t>
      </w:r>
      <w:r>
        <w:rPr>
          <w:rFonts w:hint="eastAsia" w:eastAsia="仿宋_GB2312"/>
          <w:color w:val="000000"/>
          <w:kern w:val="0"/>
          <w:szCs w:val="32"/>
        </w:rPr>
        <w:t>15 号）</w:t>
      </w:r>
      <w:r>
        <w:rPr>
          <w:rFonts w:eastAsia="仿宋_GB2312"/>
          <w:color w:val="000000"/>
          <w:kern w:val="0"/>
          <w:szCs w:val="32"/>
          <w:lang w:val="en"/>
        </w:rPr>
        <w:t>要求</w:t>
      </w:r>
      <w:r>
        <w:rPr>
          <w:rFonts w:hint="eastAsia" w:eastAsia="仿宋_GB2312"/>
          <w:color w:val="000000"/>
          <w:kern w:val="0"/>
          <w:szCs w:val="32"/>
        </w:rPr>
        <w:t>。合作举办五年制的高职学院，原则上应达到省级示范性（骨干）学校标准，或是承担公费定向师范生、乡村医生本土化人才培养项目的院校。没有省级示范性（骨干）高职学院的市州，市州人民政府可以指定辖区内一所高职学院与符合条件的中职学校合作举办五年制。</w:t>
      </w:r>
    </w:p>
    <w:p>
      <w:pPr>
        <w:spacing w:line="600" w:lineRule="exact"/>
        <w:ind w:firstLine="624" w:firstLineChars="200"/>
        <w:rPr>
          <w:rFonts w:eastAsia="仿宋_GB2312"/>
          <w:color w:val="000000"/>
          <w:kern w:val="0"/>
          <w:szCs w:val="32"/>
        </w:rPr>
      </w:pPr>
      <w:r>
        <w:rPr>
          <w:rFonts w:eastAsia="黑体"/>
          <w:color w:val="000000"/>
          <w:kern w:val="0"/>
          <w:szCs w:val="32"/>
        </w:rPr>
        <w:t>第</w:t>
      </w:r>
      <w:r>
        <w:rPr>
          <w:rFonts w:hint="eastAsia" w:eastAsia="黑体"/>
          <w:color w:val="000000"/>
          <w:kern w:val="0"/>
          <w:szCs w:val="32"/>
        </w:rPr>
        <w:t>七</w:t>
      </w:r>
      <w:r>
        <w:rPr>
          <w:rFonts w:eastAsia="黑体"/>
          <w:color w:val="000000"/>
          <w:kern w:val="0"/>
          <w:szCs w:val="32"/>
        </w:rPr>
        <w:t>条</w:t>
      </w:r>
      <w:r>
        <w:rPr>
          <w:rFonts w:eastAsia="仿宋_GB2312"/>
          <w:color w:val="000000"/>
          <w:kern w:val="0"/>
          <w:szCs w:val="32"/>
        </w:rPr>
        <w:t xml:space="preserve">  </w:t>
      </w:r>
      <w:r>
        <w:rPr>
          <w:rFonts w:hint="eastAsia" w:eastAsia="仿宋_GB2312"/>
          <w:color w:val="000000"/>
          <w:kern w:val="0"/>
          <w:szCs w:val="32"/>
        </w:rPr>
        <w:t>合作</w:t>
      </w:r>
      <w:r>
        <w:rPr>
          <w:rFonts w:eastAsia="仿宋_GB2312"/>
          <w:color w:val="000000"/>
          <w:kern w:val="0"/>
          <w:szCs w:val="32"/>
        </w:rPr>
        <w:t>举办</w:t>
      </w:r>
      <w:r>
        <w:rPr>
          <w:rFonts w:hint="eastAsia" w:eastAsia="仿宋_GB2312"/>
          <w:color w:val="000000"/>
          <w:kern w:val="0"/>
          <w:szCs w:val="32"/>
        </w:rPr>
        <w:t>三二分段制</w:t>
      </w:r>
      <w:r>
        <w:rPr>
          <w:rFonts w:eastAsia="仿宋_GB2312"/>
          <w:color w:val="000000"/>
          <w:kern w:val="0"/>
          <w:szCs w:val="32"/>
        </w:rPr>
        <w:t>的</w:t>
      </w:r>
      <w:r>
        <w:rPr>
          <w:rFonts w:hint="eastAsia" w:eastAsia="仿宋_GB2312"/>
          <w:color w:val="000000"/>
          <w:kern w:val="0"/>
          <w:szCs w:val="32"/>
        </w:rPr>
        <w:t>中高职院校，</w:t>
      </w:r>
      <w:r>
        <w:rPr>
          <w:rFonts w:eastAsia="仿宋_GB2312"/>
          <w:color w:val="000000"/>
          <w:kern w:val="0"/>
          <w:szCs w:val="32"/>
        </w:rPr>
        <w:t>应</w:t>
      </w:r>
      <w:r>
        <w:rPr>
          <w:rFonts w:hint="eastAsia" w:eastAsia="仿宋_GB2312"/>
          <w:color w:val="000000"/>
          <w:kern w:val="0"/>
          <w:szCs w:val="32"/>
        </w:rPr>
        <w:t>主动建立健全</w:t>
      </w:r>
      <w:r>
        <w:rPr>
          <w:rFonts w:eastAsia="仿宋_GB2312"/>
          <w:color w:val="000000"/>
          <w:kern w:val="0"/>
          <w:szCs w:val="32"/>
        </w:rPr>
        <w:t>区域职业教育集团或职业院校（专业）联盟，充分发挥中职学校的基础性作用和高职学院的引领作用，加强</w:t>
      </w:r>
      <w:r>
        <w:rPr>
          <w:rFonts w:hint="eastAsia" w:eastAsia="仿宋_GB2312"/>
          <w:color w:val="000000"/>
          <w:kern w:val="0"/>
          <w:szCs w:val="32"/>
        </w:rPr>
        <w:t>双方</w:t>
      </w:r>
      <w:r>
        <w:rPr>
          <w:rFonts w:eastAsia="仿宋_GB2312"/>
          <w:color w:val="000000"/>
          <w:kern w:val="0"/>
          <w:szCs w:val="32"/>
        </w:rPr>
        <w:t>在教育教学、专业建设、师资培养、资源共享等方面的交流合作，共同提升区域职业教育办学水平。</w:t>
      </w:r>
    </w:p>
    <w:p>
      <w:pPr>
        <w:pStyle w:val="3"/>
        <w:spacing w:before="0" w:beforeLines="0" w:after="0" w:afterLines="0" w:line="600" w:lineRule="exact"/>
        <w:rPr>
          <w:rFonts w:ascii="Times New Roman" w:hAnsi="Times New Roman" w:eastAsia="黑体"/>
          <w:color w:val="000000"/>
          <w:kern w:val="0"/>
        </w:rPr>
      </w:pPr>
      <w:r>
        <w:rPr>
          <w:rFonts w:ascii="Times New Roman" w:hAnsi="Times New Roman" w:eastAsia="黑体"/>
          <w:color w:val="000000"/>
          <w:kern w:val="0"/>
        </w:rPr>
        <w:t>第三章  专业点设置</w:t>
      </w:r>
    </w:p>
    <w:p>
      <w:pPr>
        <w:spacing w:line="600" w:lineRule="exact"/>
        <w:ind w:firstLine="624" w:firstLineChars="200"/>
        <w:rPr>
          <w:rFonts w:eastAsia="仿宋_GB2312"/>
          <w:color w:val="000000"/>
          <w:kern w:val="0"/>
          <w:szCs w:val="32"/>
        </w:rPr>
      </w:pPr>
      <w:r>
        <w:rPr>
          <w:rFonts w:eastAsia="黑体"/>
          <w:color w:val="000000"/>
          <w:kern w:val="0"/>
          <w:szCs w:val="32"/>
        </w:rPr>
        <w:t>第</w:t>
      </w:r>
      <w:r>
        <w:rPr>
          <w:rFonts w:hint="eastAsia" w:eastAsia="黑体"/>
          <w:color w:val="000000"/>
          <w:kern w:val="0"/>
          <w:szCs w:val="32"/>
        </w:rPr>
        <w:t>八</w:t>
      </w:r>
      <w:r>
        <w:rPr>
          <w:rFonts w:eastAsia="黑体"/>
          <w:color w:val="000000"/>
          <w:kern w:val="0"/>
          <w:szCs w:val="32"/>
        </w:rPr>
        <w:t>条</w:t>
      </w:r>
      <w:r>
        <w:rPr>
          <w:rFonts w:eastAsia="仿宋_GB2312"/>
          <w:color w:val="000000"/>
          <w:kern w:val="0"/>
          <w:szCs w:val="32"/>
        </w:rPr>
        <w:t xml:space="preserve">  </w:t>
      </w:r>
      <w:r>
        <w:rPr>
          <w:rFonts w:hint="eastAsia" w:eastAsia="仿宋_GB2312"/>
          <w:color w:val="000000"/>
          <w:kern w:val="0"/>
          <w:szCs w:val="32"/>
        </w:rPr>
        <w:t>省级教育行政部门统筹</w:t>
      </w:r>
      <w:r>
        <w:rPr>
          <w:rFonts w:eastAsia="仿宋_GB2312"/>
          <w:color w:val="000000"/>
          <w:kern w:val="0"/>
          <w:szCs w:val="32"/>
        </w:rPr>
        <w:t>规划设置五年制高职专业点，</w:t>
      </w:r>
      <w:r>
        <w:rPr>
          <w:rFonts w:hint="eastAsia" w:eastAsia="仿宋_GB2312"/>
          <w:color w:val="000000"/>
          <w:kern w:val="0"/>
          <w:szCs w:val="32"/>
        </w:rPr>
        <w:t>在学前教育、护理、养老服务、健康服务、先进</w:t>
      </w:r>
      <w:r>
        <w:rPr>
          <w:rFonts w:eastAsia="仿宋_GB2312"/>
          <w:color w:val="000000"/>
          <w:kern w:val="0"/>
          <w:szCs w:val="32"/>
        </w:rPr>
        <w:t>制造</w:t>
      </w:r>
      <w:r>
        <w:rPr>
          <w:rFonts w:hint="eastAsia" w:eastAsia="仿宋_GB2312"/>
          <w:color w:val="000000"/>
          <w:kern w:val="0"/>
          <w:szCs w:val="32"/>
        </w:rPr>
        <w:t>业、现代服务业及涉农专业</w:t>
      </w:r>
      <w:r>
        <w:rPr>
          <w:rFonts w:eastAsia="仿宋_GB2312"/>
          <w:color w:val="000000"/>
          <w:kern w:val="0"/>
          <w:szCs w:val="32"/>
        </w:rPr>
        <w:t>等</w:t>
      </w:r>
      <w:r>
        <w:rPr>
          <w:rFonts w:hint="eastAsia" w:eastAsia="仿宋_GB2312"/>
          <w:color w:val="000000"/>
          <w:kern w:val="0"/>
          <w:szCs w:val="32"/>
        </w:rPr>
        <w:t>领域优先布局，</w:t>
      </w:r>
      <w:r>
        <w:rPr>
          <w:rFonts w:eastAsia="仿宋_GB2312"/>
          <w:color w:val="000000"/>
          <w:kern w:val="0"/>
          <w:szCs w:val="32"/>
        </w:rPr>
        <w:t>重点支持岗位技术含量较高、专业技能训练周期较长、</w:t>
      </w:r>
      <w:r>
        <w:rPr>
          <w:rFonts w:hint="eastAsia" w:eastAsia="仿宋_GB2312"/>
          <w:color w:val="000000"/>
          <w:kern w:val="0"/>
          <w:szCs w:val="32"/>
        </w:rPr>
        <w:t>开发较早</w:t>
      </w:r>
      <w:r>
        <w:rPr>
          <w:rFonts w:eastAsia="仿宋_GB2312"/>
          <w:color w:val="000000"/>
          <w:kern w:val="0"/>
          <w:szCs w:val="32"/>
        </w:rPr>
        <w:t>的专业</w:t>
      </w:r>
      <w:r>
        <w:rPr>
          <w:rFonts w:hint="eastAsia" w:eastAsia="仿宋_GB2312"/>
          <w:color w:val="000000"/>
          <w:kern w:val="0"/>
          <w:szCs w:val="32"/>
        </w:rPr>
        <w:t>举办五年制高职</w:t>
      </w:r>
      <w:r>
        <w:rPr>
          <w:rFonts w:eastAsia="仿宋_GB2312"/>
          <w:color w:val="000000"/>
          <w:kern w:val="0"/>
          <w:szCs w:val="32"/>
        </w:rPr>
        <w:t>。</w:t>
      </w:r>
    </w:p>
    <w:p>
      <w:pPr>
        <w:spacing w:line="600" w:lineRule="exact"/>
        <w:ind w:firstLine="624" w:firstLineChars="200"/>
        <w:rPr>
          <w:rFonts w:eastAsia="仿宋_GB2312"/>
          <w:color w:val="000000"/>
          <w:kern w:val="0"/>
          <w:szCs w:val="32"/>
        </w:rPr>
      </w:pPr>
      <w:r>
        <w:rPr>
          <w:rFonts w:eastAsia="黑体"/>
          <w:color w:val="000000"/>
          <w:kern w:val="0"/>
          <w:szCs w:val="32"/>
        </w:rPr>
        <w:t>第</w:t>
      </w:r>
      <w:r>
        <w:rPr>
          <w:rFonts w:hint="eastAsia" w:eastAsia="黑体"/>
          <w:color w:val="000000"/>
          <w:kern w:val="0"/>
          <w:szCs w:val="32"/>
        </w:rPr>
        <w:t>九</w:t>
      </w:r>
      <w:r>
        <w:rPr>
          <w:rFonts w:eastAsia="黑体"/>
          <w:color w:val="000000"/>
          <w:kern w:val="0"/>
          <w:szCs w:val="32"/>
        </w:rPr>
        <w:t>条</w:t>
      </w:r>
      <w:r>
        <w:rPr>
          <w:rFonts w:eastAsia="仿宋_GB2312"/>
          <w:color w:val="000000"/>
          <w:kern w:val="0"/>
          <w:szCs w:val="32"/>
        </w:rPr>
        <w:t xml:space="preserve">  </w:t>
      </w:r>
      <w:r>
        <w:rPr>
          <w:rFonts w:hint="eastAsia" w:eastAsia="仿宋_GB2312"/>
          <w:color w:val="000000"/>
          <w:kern w:val="0"/>
          <w:szCs w:val="32"/>
        </w:rPr>
        <w:t>高职学院独立举办五年一贯制或与中职学校合作举办三二分段制</w:t>
      </w:r>
      <w:r>
        <w:rPr>
          <w:rFonts w:eastAsia="仿宋_GB2312"/>
          <w:color w:val="000000"/>
          <w:kern w:val="0"/>
          <w:szCs w:val="32"/>
        </w:rPr>
        <w:t>，应</w:t>
      </w:r>
      <w:r>
        <w:rPr>
          <w:rFonts w:hint="eastAsia" w:eastAsia="仿宋_GB2312"/>
          <w:color w:val="000000"/>
          <w:kern w:val="0"/>
          <w:szCs w:val="32"/>
        </w:rPr>
        <w:t>统筹考虑本校办学条件、师资力量、办学水平等情况，合理确定招生专业、规模及培养形式。中职学校合作举办三二分段制的专业应是学校的优势特色专业，专业办学条件达到湖南省教育厅《关于印发&lt;湖南省中等职业学校专业设置管理实施细则&gt;的通知》（湘教发〔2020〕16号）相关要求，</w:t>
      </w:r>
      <w:r>
        <w:rPr>
          <w:rFonts w:eastAsia="仿宋_GB2312"/>
          <w:color w:val="000000"/>
          <w:kern w:val="0"/>
          <w:szCs w:val="32"/>
          <w:lang w:val="en"/>
        </w:rPr>
        <w:t>且有一届以上毕业生</w:t>
      </w:r>
      <w:r>
        <w:rPr>
          <w:rFonts w:hint="eastAsia" w:eastAsia="仿宋_GB2312"/>
          <w:color w:val="000000"/>
          <w:kern w:val="0"/>
          <w:szCs w:val="32"/>
        </w:rPr>
        <w:t>。</w:t>
      </w:r>
    </w:p>
    <w:p>
      <w:pPr>
        <w:spacing w:line="600" w:lineRule="exact"/>
        <w:ind w:firstLine="624" w:firstLineChars="200"/>
        <w:rPr>
          <w:rFonts w:eastAsia="仿宋_GB2312"/>
          <w:color w:val="000000"/>
          <w:kern w:val="0"/>
          <w:szCs w:val="32"/>
        </w:rPr>
      </w:pPr>
      <w:r>
        <w:rPr>
          <w:rFonts w:hint="eastAsia" w:eastAsia="黑体"/>
          <w:color w:val="000000"/>
          <w:kern w:val="0"/>
          <w:szCs w:val="32"/>
        </w:rPr>
        <w:t>第十条</w:t>
      </w:r>
      <w:r>
        <w:rPr>
          <w:rFonts w:hint="eastAsia" w:eastAsia="仿宋_GB2312"/>
          <w:color w:val="000000"/>
          <w:kern w:val="0"/>
          <w:szCs w:val="32"/>
        </w:rPr>
        <w:t xml:space="preserve">  申报中高职合作举办三二分段制专业点，</w:t>
      </w:r>
      <w:r>
        <w:rPr>
          <w:rFonts w:eastAsia="仿宋_GB2312"/>
          <w:color w:val="000000"/>
          <w:kern w:val="0"/>
          <w:szCs w:val="32"/>
        </w:rPr>
        <w:t>须提供以下材料：</w:t>
      </w:r>
    </w:p>
    <w:p>
      <w:pPr>
        <w:spacing w:line="600" w:lineRule="exact"/>
        <w:ind w:firstLine="624" w:firstLineChars="200"/>
        <w:rPr>
          <w:rFonts w:eastAsia="仿宋_GB2312"/>
          <w:color w:val="000000"/>
          <w:kern w:val="0"/>
          <w:szCs w:val="32"/>
        </w:rPr>
      </w:pPr>
      <w:r>
        <w:rPr>
          <w:rFonts w:eastAsia="仿宋_GB2312"/>
          <w:color w:val="000000"/>
          <w:kern w:val="0"/>
          <w:szCs w:val="32"/>
        </w:rPr>
        <w:t>（一）《</w:t>
      </w:r>
      <w:r>
        <w:rPr>
          <w:rFonts w:eastAsia="仿宋_GB2312"/>
          <w:color w:val="000000"/>
          <w:szCs w:val="32"/>
        </w:rPr>
        <w:t>湖南省</w:t>
      </w:r>
      <w:r>
        <w:rPr>
          <w:rFonts w:hint="eastAsia" w:eastAsia="仿宋_GB2312"/>
          <w:color w:val="000000"/>
          <w:szCs w:val="32"/>
        </w:rPr>
        <w:t>中高职</w:t>
      </w:r>
      <w:r>
        <w:rPr>
          <w:rFonts w:hint="eastAsia" w:eastAsia="仿宋_GB2312"/>
          <w:color w:val="000000"/>
          <w:kern w:val="0"/>
          <w:szCs w:val="32"/>
        </w:rPr>
        <w:t>合作</w:t>
      </w:r>
      <w:r>
        <w:rPr>
          <w:rFonts w:hint="eastAsia" w:eastAsia="仿宋_GB2312"/>
          <w:color w:val="000000"/>
          <w:szCs w:val="32"/>
        </w:rPr>
        <w:t>举办三二分段制</w:t>
      </w:r>
      <w:r>
        <w:rPr>
          <w:rFonts w:eastAsia="仿宋_GB2312"/>
          <w:color w:val="000000"/>
          <w:szCs w:val="32"/>
        </w:rPr>
        <w:t>专业点设置申报表》</w:t>
      </w:r>
      <w:r>
        <w:rPr>
          <w:rFonts w:hint="eastAsia" w:eastAsia="仿宋_GB2312"/>
          <w:color w:val="000000"/>
          <w:kern w:val="0"/>
          <w:szCs w:val="32"/>
        </w:rPr>
        <w:t>（见附件）</w:t>
      </w:r>
      <w:r>
        <w:rPr>
          <w:rFonts w:eastAsia="仿宋_GB2312"/>
          <w:color w:val="000000"/>
          <w:kern w:val="0"/>
          <w:szCs w:val="32"/>
        </w:rPr>
        <w:t>；</w:t>
      </w:r>
    </w:p>
    <w:p>
      <w:pPr>
        <w:spacing w:line="600" w:lineRule="exact"/>
        <w:ind w:firstLine="624" w:firstLineChars="200"/>
        <w:rPr>
          <w:rFonts w:eastAsia="仿宋_GB2312"/>
          <w:color w:val="000000"/>
          <w:kern w:val="0"/>
          <w:szCs w:val="32"/>
        </w:rPr>
      </w:pPr>
      <w:r>
        <w:rPr>
          <w:rFonts w:eastAsia="仿宋_GB2312"/>
          <w:color w:val="000000"/>
          <w:kern w:val="0"/>
          <w:szCs w:val="32"/>
        </w:rPr>
        <w:t>（二）专业点设置论证报告（拟设专业人才需求分析和专业点设置可行性论证）</w:t>
      </w:r>
      <w:r>
        <w:rPr>
          <w:rFonts w:hint="eastAsia" w:eastAsia="仿宋_GB2312"/>
          <w:color w:val="000000"/>
          <w:kern w:val="0"/>
          <w:szCs w:val="32"/>
        </w:rPr>
        <w:t>；</w:t>
      </w:r>
    </w:p>
    <w:p>
      <w:pPr>
        <w:spacing w:line="600" w:lineRule="exact"/>
        <w:ind w:firstLine="624" w:firstLineChars="200"/>
        <w:rPr>
          <w:rFonts w:eastAsia="仿宋_GB2312"/>
          <w:color w:val="000000"/>
          <w:kern w:val="0"/>
          <w:szCs w:val="32"/>
        </w:rPr>
      </w:pPr>
      <w:r>
        <w:rPr>
          <w:rFonts w:eastAsia="仿宋_GB2312"/>
          <w:color w:val="000000"/>
          <w:kern w:val="0"/>
          <w:szCs w:val="32"/>
        </w:rPr>
        <w:t>（三）专业人才培养方案（包括</w:t>
      </w:r>
      <w:r>
        <w:rPr>
          <w:rFonts w:hint="eastAsia" w:eastAsia="仿宋_GB2312"/>
          <w:color w:val="000000"/>
          <w:kern w:val="0"/>
          <w:szCs w:val="32"/>
        </w:rPr>
        <w:t>专业名称及代码、入学要求、修业年限、职业面向、培养目标与规格、主要课程设置、学时安排、教学进程总体安排、实施保障、毕业要求等内容</w:t>
      </w:r>
      <w:r>
        <w:rPr>
          <w:rFonts w:eastAsia="仿宋_GB2312"/>
          <w:color w:val="000000"/>
          <w:kern w:val="0"/>
          <w:szCs w:val="32"/>
        </w:rPr>
        <w:t>）；</w:t>
      </w:r>
    </w:p>
    <w:p>
      <w:pPr>
        <w:spacing w:line="600" w:lineRule="exact"/>
        <w:ind w:firstLine="624" w:firstLineChars="200"/>
        <w:rPr>
          <w:rFonts w:eastAsia="仿宋_GB2312"/>
          <w:color w:val="000000"/>
          <w:kern w:val="0"/>
          <w:szCs w:val="32"/>
        </w:rPr>
      </w:pPr>
      <w:r>
        <w:rPr>
          <w:rFonts w:eastAsia="仿宋_GB2312"/>
          <w:color w:val="000000"/>
          <w:kern w:val="0"/>
          <w:szCs w:val="32"/>
        </w:rPr>
        <w:t>（四）中职学校与高职学院</w:t>
      </w:r>
      <w:r>
        <w:rPr>
          <w:rFonts w:hint="eastAsia" w:eastAsia="仿宋_GB2312"/>
          <w:color w:val="000000"/>
          <w:kern w:val="0"/>
          <w:szCs w:val="32"/>
        </w:rPr>
        <w:t>的合作</w:t>
      </w:r>
      <w:r>
        <w:rPr>
          <w:rFonts w:eastAsia="仿宋_GB2312"/>
          <w:color w:val="000000"/>
          <w:kern w:val="0"/>
          <w:szCs w:val="32"/>
        </w:rPr>
        <w:t>办学协议；</w:t>
      </w:r>
    </w:p>
    <w:p>
      <w:pPr>
        <w:spacing w:line="600" w:lineRule="exact"/>
        <w:ind w:firstLine="624" w:firstLineChars="200"/>
        <w:rPr>
          <w:rFonts w:eastAsia="仿宋_GB2312"/>
          <w:color w:val="000000"/>
          <w:kern w:val="0"/>
          <w:szCs w:val="32"/>
        </w:rPr>
      </w:pPr>
      <w:r>
        <w:rPr>
          <w:rFonts w:eastAsia="仿宋_GB2312"/>
          <w:color w:val="000000"/>
          <w:kern w:val="0"/>
          <w:szCs w:val="32"/>
        </w:rPr>
        <w:t>（五）其</w:t>
      </w:r>
      <w:r>
        <w:rPr>
          <w:rFonts w:hint="eastAsia" w:eastAsia="仿宋_GB2312"/>
          <w:color w:val="000000"/>
          <w:kern w:val="0"/>
          <w:szCs w:val="32"/>
        </w:rPr>
        <w:t>它</w:t>
      </w:r>
      <w:r>
        <w:rPr>
          <w:rFonts w:eastAsia="仿宋_GB2312"/>
          <w:color w:val="000000"/>
          <w:kern w:val="0"/>
          <w:szCs w:val="32"/>
        </w:rPr>
        <w:t>相关材料。</w:t>
      </w:r>
    </w:p>
    <w:p>
      <w:pPr>
        <w:spacing w:line="600" w:lineRule="exact"/>
        <w:ind w:firstLine="624" w:firstLineChars="200"/>
        <w:rPr>
          <w:rFonts w:eastAsia="仿宋_GB2312"/>
          <w:color w:val="000000"/>
          <w:kern w:val="0"/>
          <w:szCs w:val="32"/>
        </w:rPr>
      </w:pPr>
      <w:r>
        <w:rPr>
          <w:rFonts w:eastAsia="黑体"/>
          <w:color w:val="000000"/>
          <w:kern w:val="0"/>
          <w:szCs w:val="32"/>
        </w:rPr>
        <w:t>第十</w:t>
      </w:r>
      <w:r>
        <w:rPr>
          <w:rFonts w:hint="eastAsia" w:eastAsia="黑体"/>
          <w:color w:val="000000"/>
          <w:kern w:val="0"/>
          <w:szCs w:val="32"/>
        </w:rPr>
        <w:t>一</w:t>
      </w:r>
      <w:r>
        <w:rPr>
          <w:rFonts w:eastAsia="黑体"/>
          <w:color w:val="000000"/>
          <w:kern w:val="0"/>
          <w:szCs w:val="32"/>
        </w:rPr>
        <w:t>条</w:t>
      </w:r>
      <w:r>
        <w:rPr>
          <w:rFonts w:eastAsia="仿宋_GB2312"/>
          <w:color w:val="000000"/>
          <w:kern w:val="0"/>
          <w:szCs w:val="32"/>
        </w:rPr>
        <w:t xml:space="preserve">  </w:t>
      </w:r>
      <w:r>
        <w:rPr>
          <w:rFonts w:hint="eastAsia" w:eastAsia="仿宋_GB2312"/>
          <w:color w:val="000000"/>
          <w:kern w:val="0"/>
          <w:szCs w:val="32"/>
        </w:rPr>
        <w:t>严格规范中高职合作举办五年制高职专业的申报审批程序，中职学校和高职学院签订合作办学协议后，报中职学校所在地市州教育行政部门审核，并于</w:t>
      </w:r>
      <w:r>
        <w:rPr>
          <w:rFonts w:eastAsia="仿宋_GB2312"/>
          <w:color w:val="000000"/>
          <w:kern w:val="0"/>
          <w:szCs w:val="32"/>
        </w:rPr>
        <w:t>每年</w:t>
      </w:r>
      <w:r>
        <w:rPr>
          <w:rFonts w:hint="eastAsia" w:eastAsia="仿宋_GB2312"/>
          <w:color w:val="000000"/>
          <w:kern w:val="0"/>
          <w:szCs w:val="32"/>
        </w:rPr>
        <w:t>4</w:t>
      </w:r>
      <w:r>
        <w:rPr>
          <w:rFonts w:eastAsia="仿宋_GB2312"/>
          <w:color w:val="000000"/>
          <w:kern w:val="0"/>
          <w:szCs w:val="32"/>
        </w:rPr>
        <w:t>月</w:t>
      </w:r>
      <w:r>
        <w:rPr>
          <w:rFonts w:hint="eastAsia" w:eastAsia="仿宋_GB2312"/>
          <w:color w:val="000000"/>
          <w:kern w:val="0"/>
          <w:szCs w:val="32"/>
        </w:rPr>
        <w:t>15日</w:t>
      </w:r>
      <w:r>
        <w:rPr>
          <w:rFonts w:eastAsia="仿宋_GB2312"/>
          <w:color w:val="000000"/>
          <w:kern w:val="0"/>
          <w:szCs w:val="32"/>
        </w:rPr>
        <w:t>前</w:t>
      </w:r>
      <w:r>
        <w:rPr>
          <w:rFonts w:hint="eastAsia" w:eastAsia="仿宋_GB2312"/>
          <w:color w:val="000000"/>
          <w:kern w:val="0"/>
          <w:szCs w:val="32"/>
        </w:rPr>
        <w:t>报省级教育行政部门审批。</w:t>
      </w:r>
    </w:p>
    <w:p>
      <w:pPr>
        <w:spacing w:line="600" w:lineRule="exact"/>
        <w:ind w:firstLine="624" w:firstLineChars="200"/>
        <w:rPr>
          <w:rFonts w:eastAsia="仿宋_GB2312"/>
          <w:color w:val="000000"/>
          <w:kern w:val="0"/>
          <w:szCs w:val="32"/>
        </w:rPr>
      </w:pPr>
      <w:r>
        <w:rPr>
          <w:rFonts w:hint="eastAsia" w:eastAsia="黑体"/>
          <w:color w:val="000000"/>
          <w:kern w:val="0"/>
          <w:szCs w:val="32"/>
        </w:rPr>
        <w:t>第十二条</w:t>
      </w:r>
      <w:r>
        <w:rPr>
          <w:rFonts w:hint="eastAsia" w:eastAsia="仿宋_GB2312"/>
          <w:color w:val="000000"/>
          <w:kern w:val="0"/>
          <w:szCs w:val="32"/>
        </w:rPr>
        <w:t xml:space="preserve">  省级教育行政部门于每年4月底前集中审批当年招生的中高职合作举办五年制高职专业点，并</w:t>
      </w:r>
      <w:r>
        <w:rPr>
          <w:rFonts w:eastAsia="仿宋_GB2312"/>
          <w:color w:val="000000"/>
          <w:kern w:val="0"/>
          <w:szCs w:val="32"/>
        </w:rPr>
        <w:t>确定</w:t>
      </w:r>
      <w:r>
        <w:rPr>
          <w:rFonts w:hint="eastAsia" w:eastAsia="仿宋_GB2312"/>
          <w:color w:val="000000"/>
          <w:kern w:val="0"/>
          <w:szCs w:val="32"/>
        </w:rPr>
        <w:t>当年全省</w:t>
      </w:r>
      <w:r>
        <w:rPr>
          <w:rFonts w:eastAsia="仿宋_GB2312"/>
          <w:color w:val="000000"/>
          <w:kern w:val="0"/>
          <w:szCs w:val="32"/>
        </w:rPr>
        <w:t>举办五年制专业的院校及专业，提出招生限额建议。</w:t>
      </w:r>
    </w:p>
    <w:p>
      <w:pPr>
        <w:pStyle w:val="3"/>
        <w:spacing w:before="0" w:beforeLines="0" w:after="0" w:afterLines="0" w:line="600" w:lineRule="exact"/>
        <w:rPr>
          <w:rFonts w:ascii="Times New Roman" w:hAnsi="Times New Roman" w:eastAsia="黑体"/>
          <w:color w:val="000000"/>
          <w:kern w:val="0"/>
        </w:rPr>
      </w:pPr>
      <w:r>
        <w:rPr>
          <w:rFonts w:ascii="Times New Roman" w:hAnsi="Times New Roman" w:eastAsia="黑体"/>
          <w:color w:val="000000"/>
          <w:kern w:val="0"/>
        </w:rPr>
        <w:t>第四章  招生录取</w:t>
      </w:r>
    </w:p>
    <w:p>
      <w:pPr>
        <w:spacing w:line="600" w:lineRule="exact"/>
        <w:ind w:firstLine="624" w:firstLineChars="200"/>
        <w:rPr>
          <w:rFonts w:eastAsia="仿宋_GB2312"/>
          <w:color w:val="000000"/>
          <w:kern w:val="0"/>
          <w:szCs w:val="32"/>
        </w:rPr>
      </w:pPr>
      <w:r>
        <w:rPr>
          <w:rFonts w:eastAsia="黑体"/>
          <w:color w:val="000000"/>
          <w:kern w:val="0"/>
          <w:szCs w:val="32"/>
        </w:rPr>
        <w:t>第十</w:t>
      </w:r>
      <w:r>
        <w:rPr>
          <w:rFonts w:hint="eastAsia" w:eastAsia="黑体"/>
          <w:color w:val="000000"/>
          <w:kern w:val="0"/>
          <w:szCs w:val="32"/>
        </w:rPr>
        <w:t>三</w:t>
      </w:r>
      <w:r>
        <w:rPr>
          <w:rFonts w:eastAsia="黑体"/>
          <w:color w:val="000000"/>
          <w:kern w:val="0"/>
          <w:szCs w:val="32"/>
        </w:rPr>
        <w:t>条</w:t>
      </w:r>
      <w:r>
        <w:rPr>
          <w:rFonts w:eastAsia="仿宋_GB2312"/>
          <w:color w:val="000000"/>
          <w:kern w:val="0"/>
          <w:szCs w:val="32"/>
        </w:rPr>
        <w:t xml:space="preserve">  </w:t>
      </w:r>
      <w:r>
        <w:rPr>
          <w:rFonts w:eastAsia="仿宋_GB2312"/>
          <w:color w:val="000000"/>
          <w:spacing w:val="-2"/>
          <w:kern w:val="0"/>
          <w:szCs w:val="32"/>
        </w:rPr>
        <w:t>高职学院</w:t>
      </w:r>
      <w:r>
        <w:rPr>
          <w:rFonts w:hint="eastAsia" w:eastAsia="仿宋_GB2312"/>
          <w:color w:val="000000"/>
          <w:spacing w:val="-2"/>
          <w:kern w:val="0"/>
          <w:szCs w:val="32"/>
        </w:rPr>
        <w:t>应于每年5月底前向省级教育行政部门申报当年的五年制高职（含独立举办的五年一贯制、中高职合作举办的三二分段制）招生计划。</w:t>
      </w:r>
      <w:r>
        <w:rPr>
          <w:rFonts w:hint="eastAsia" w:eastAsia="仿宋_GB2312"/>
          <w:color w:val="000000"/>
          <w:kern w:val="0"/>
          <w:szCs w:val="32"/>
        </w:rPr>
        <w:t>省级教育行政部门</w:t>
      </w:r>
      <w:r>
        <w:rPr>
          <w:rFonts w:eastAsia="仿宋_GB2312"/>
          <w:color w:val="000000"/>
          <w:kern w:val="0"/>
          <w:szCs w:val="32"/>
        </w:rPr>
        <w:t>根据全省高职教育发展规模、行业发展需要</w:t>
      </w:r>
      <w:r>
        <w:rPr>
          <w:rFonts w:hint="eastAsia" w:eastAsia="仿宋_GB2312"/>
          <w:color w:val="000000"/>
          <w:kern w:val="0"/>
          <w:szCs w:val="32"/>
        </w:rPr>
        <w:t>、市州政府及相关部门支持保障水平、职业院校</w:t>
      </w:r>
      <w:r>
        <w:rPr>
          <w:rFonts w:eastAsia="仿宋_GB2312"/>
          <w:color w:val="000000"/>
          <w:kern w:val="0"/>
          <w:szCs w:val="32"/>
        </w:rPr>
        <w:t>办学条件</w:t>
      </w:r>
      <w:r>
        <w:rPr>
          <w:rFonts w:hint="eastAsia" w:eastAsia="仿宋_GB2312"/>
          <w:color w:val="000000"/>
          <w:kern w:val="0"/>
          <w:szCs w:val="32"/>
        </w:rPr>
        <w:t>、</w:t>
      </w:r>
      <w:r>
        <w:rPr>
          <w:rFonts w:eastAsia="仿宋_GB2312"/>
          <w:color w:val="000000"/>
          <w:kern w:val="0"/>
          <w:szCs w:val="32"/>
        </w:rPr>
        <w:t>专业</w:t>
      </w:r>
      <w:r>
        <w:rPr>
          <w:rFonts w:hint="eastAsia" w:eastAsia="仿宋_GB2312"/>
          <w:color w:val="000000"/>
          <w:kern w:val="0"/>
          <w:szCs w:val="32"/>
        </w:rPr>
        <w:t>人才</w:t>
      </w:r>
      <w:r>
        <w:rPr>
          <w:rFonts w:eastAsia="仿宋_GB2312"/>
          <w:color w:val="000000"/>
          <w:kern w:val="0"/>
          <w:szCs w:val="32"/>
        </w:rPr>
        <w:t>培养能力等，在招生限额内核定</w:t>
      </w:r>
      <w:r>
        <w:rPr>
          <w:rFonts w:hint="eastAsia" w:eastAsia="仿宋_GB2312"/>
          <w:color w:val="000000"/>
          <w:kern w:val="0"/>
          <w:szCs w:val="32"/>
        </w:rPr>
        <w:t>分校、分培养形式、分专业</w:t>
      </w:r>
      <w:r>
        <w:rPr>
          <w:rFonts w:eastAsia="仿宋_GB2312"/>
          <w:color w:val="000000"/>
          <w:kern w:val="0"/>
          <w:szCs w:val="32"/>
        </w:rPr>
        <w:t>招生计划。</w:t>
      </w:r>
    </w:p>
    <w:p>
      <w:pPr>
        <w:spacing w:line="600" w:lineRule="exact"/>
        <w:ind w:firstLine="624" w:firstLineChars="200"/>
        <w:rPr>
          <w:rFonts w:eastAsia="仿宋_GB2312"/>
          <w:color w:val="000000"/>
          <w:kern w:val="0"/>
          <w:szCs w:val="32"/>
        </w:rPr>
      </w:pPr>
      <w:r>
        <w:rPr>
          <w:rFonts w:eastAsia="黑体"/>
          <w:color w:val="000000"/>
          <w:kern w:val="0"/>
          <w:szCs w:val="32"/>
        </w:rPr>
        <w:t>第十</w:t>
      </w:r>
      <w:r>
        <w:rPr>
          <w:rFonts w:hint="eastAsia" w:eastAsia="黑体"/>
          <w:color w:val="000000"/>
          <w:kern w:val="0"/>
          <w:szCs w:val="32"/>
        </w:rPr>
        <w:t>四</w:t>
      </w:r>
      <w:r>
        <w:rPr>
          <w:rFonts w:eastAsia="黑体"/>
          <w:color w:val="000000"/>
          <w:kern w:val="0"/>
          <w:szCs w:val="32"/>
        </w:rPr>
        <w:t>条</w:t>
      </w:r>
      <w:r>
        <w:rPr>
          <w:rFonts w:eastAsia="仿宋_GB2312"/>
          <w:color w:val="000000"/>
          <w:kern w:val="0"/>
          <w:szCs w:val="32"/>
        </w:rPr>
        <w:t xml:space="preserve">  </w:t>
      </w:r>
      <w:r>
        <w:rPr>
          <w:rFonts w:hint="eastAsia" w:eastAsia="仿宋_GB2312"/>
          <w:color w:val="000000"/>
          <w:kern w:val="0"/>
          <w:szCs w:val="32"/>
        </w:rPr>
        <w:t>省级教育行政部门于</w:t>
      </w:r>
      <w:r>
        <w:rPr>
          <w:rFonts w:eastAsia="仿宋_GB2312"/>
          <w:color w:val="000000"/>
          <w:kern w:val="0"/>
          <w:szCs w:val="32"/>
        </w:rPr>
        <w:t>每年初中毕业生填报升学志愿前，通过湖南省中等职业教育阳光招生信息平台统一公开发布全省五年制高职招生计划。市县教育行政部门应通过本地媒体、门户网站、招生管理平台、招生指南等，将五年制高职招生计划向</w:t>
      </w:r>
      <w:r>
        <w:rPr>
          <w:rFonts w:hint="eastAsia" w:eastAsia="仿宋_GB2312"/>
          <w:color w:val="000000"/>
          <w:kern w:val="0"/>
          <w:szCs w:val="32"/>
        </w:rPr>
        <w:t>社会</w:t>
      </w:r>
      <w:r>
        <w:rPr>
          <w:rFonts w:eastAsia="仿宋_GB2312"/>
          <w:color w:val="000000"/>
          <w:kern w:val="0"/>
          <w:szCs w:val="32"/>
        </w:rPr>
        <w:t>公开发布，向</w:t>
      </w:r>
      <w:r>
        <w:rPr>
          <w:rFonts w:hint="eastAsia" w:eastAsia="仿宋_GB2312"/>
          <w:color w:val="000000"/>
          <w:kern w:val="0"/>
          <w:szCs w:val="32"/>
        </w:rPr>
        <w:t>所辖初中学校</w:t>
      </w:r>
      <w:r>
        <w:rPr>
          <w:rFonts w:eastAsia="仿宋_GB2312"/>
          <w:color w:val="000000"/>
          <w:kern w:val="0"/>
          <w:szCs w:val="32"/>
        </w:rPr>
        <w:t>和考生说明招生政策。</w:t>
      </w:r>
    </w:p>
    <w:p>
      <w:pPr>
        <w:spacing w:line="600" w:lineRule="exact"/>
        <w:ind w:firstLine="624" w:firstLineChars="200"/>
        <w:rPr>
          <w:rFonts w:eastAsia="仿宋_GB2312"/>
          <w:color w:val="000000"/>
          <w:kern w:val="0"/>
          <w:szCs w:val="32"/>
        </w:rPr>
      </w:pPr>
      <w:r>
        <w:rPr>
          <w:rFonts w:eastAsia="黑体"/>
          <w:color w:val="000000"/>
          <w:kern w:val="0"/>
          <w:szCs w:val="32"/>
        </w:rPr>
        <w:t>第十</w:t>
      </w:r>
      <w:r>
        <w:rPr>
          <w:rFonts w:hint="eastAsia" w:eastAsia="黑体"/>
          <w:color w:val="000000"/>
          <w:kern w:val="0"/>
          <w:szCs w:val="32"/>
        </w:rPr>
        <w:t>五</w:t>
      </w:r>
      <w:r>
        <w:rPr>
          <w:rFonts w:eastAsia="黑体"/>
          <w:color w:val="000000"/>
          <w:kern w:val="0"/>
          <w:szCs w:val="32"/>
        </w:rPr>
        <w:t>条</w:t>
      </w:r>
      <w:r>
        <w:rPr>
          <w:rFonts w:eastAsia="仿宋_GB2312"/>
          <w:color w:val="000000"/>
          <w:kern w:val="0"/>
          <w:szCs w:val="32"/>
        </w:rPr>
        <w:t xml:space="preserve">  报考五年制高职的考生，须参加当年所在市州初中学业水平考试，</w:t>
      </w:r>
      <w:r>
        <w:rPr>
          <w:rFonts w:hint="eastAsia" w:eastAsia="仿宋_GB2312"/>
          <w:color w:val="000000"/>
          <w:kern w:val="0"/>
          <w:szCs w:val="32"/>
        </w:rPr>
        <w:t>按要求和程序填报志愿，</w:t>
      </w:r>
      <w:r>
        <w:rPr>
          <w:rFonts w:eastAsia="仿宋_GB2312"/>
          <w:color w:val="000000"/>
          <w:kern w:val="0"/>
          <w:szCs w:val="32"/>
        </w:rPr>
        <w:t>通过本地高中阶段学校统一招生录取平台择优录取。</w:t>
      </w:r>
      <w:r>
        <w:rPr>
          <w:rFonts w:hint="eastAsia" w:eastAsia="仿宋_GB2312"/>
          <w:color w:val="000000"/>
          <w:kern w:val="0"/>
          <w:szCs w:val="32"/>
        </w:rPr>
        <w:t>五年制高职招生须按照我省中等职业教育阳光招生政策和生源地中考招生流程进行。中高职合作举办五年制高职</w:t>
      </w:r>
      <w:r>
        <w:rPr>
          <w:rFonts w:eastAsia="仿宋_GB2312"/>
          <w:color w:val="000000"/>
          <w:kern w:val="0"/>
          <w:szCs w:val="32"/>
        </w:rPr>
        <w:t>招生</w:t>
      </w:r>
      <w:r>
        <w:rPr>
          <w:rFonts w:hint="eastAsia" w:eastAsia="仿宋_GB2312"/>
          <w:color w:val="000000"/>
          <w:kern w:val="0"/>
          <w:szCs w:val="32"/>
        </w:rPr>
        <w:t>由合作院校</w:t>
      </w:r>
      <w:r>
        <w:rPr>
          <w:rFonts w:eastAsia="仿宋_GB2312"/>
          <w:color w:val="000000"/>
          <w:kern w:val="0"/>
          <w:szCs w:val="32"/>
        </w:rPr>
        <w:t>联合进行，以中职学校为主，学生的录取通知书须盖两校</w:t>
      </w:r>
      <w:r>
        <w:rPr>
          <w:rFonts w:hint="eastAsia" w:eastAsia="仿宋_GB2312"/>
          <w:color w:val="000000"/>
          <w:kern w:val="0"/>
          <w:szCs w:val="32"/>
        </w:rPr>
        <w:t>公</w:t>
      </w:r>
      <w:r>
        <w:rPr>
          <w:rFonts w:eastAsia="仿宋_GB2312"/>
          <w:color w:val="000000"/>
          <w:kern w:val="0"/>
          <w:szCs w:val="32"/>
        </w:rPr>
        <w:t>章。</w:t>
      </w:r>
    </w:p>
    <w:p>
      <w:pPr>
        <w:spacing w:line="600" w:lineRule="exact"/>
        <w:ind w:firstLine="624" w:firstLineChars="200"/>
        <w:rPr>
          <w:rFonts w:eastAsia="仿宋_GB2312"/>
          <w:color w:val="000000"/>
          <w:kern w:val="0"/>
          <w:szCs w:val="32"/>
        </w:rPr>
      </w:pPr>
      <w:r>
        <w:rPr>
          <w:rFonts w:eastAsia="黑体"/>
          <w:color w:val="000000"/>
          <w:kern w:val="0"/>
          <w:szCs w:val="32"/>
        </w:rPr>
        <w:t>第十</w:t>
      </w:r>
      <w:r>
        <w:rPr>
          <w:rFonts w:hint="eastAsia" w:eastAsia="黑体"/>
          <w:color w:val="000000"/>
          <w:kern w:val="0"/>
          <w:szCs w:val="32"/>
        </w:rPr>
        <w:t>六</w:t>
      </w:r>
      <w:r>
        <w:rPr>
          <w:rFonts w:eastAsia="黑体"/>
          <w:color w:val="000000"/>
          <w:kern w:val="0"/>
          <w:szCs w:val="32"/>
        </w:rPr>
        <w:t>条</w:t>
      </w:r>
      <w:r>
        <w:rPr>
          <w:rFonts w:eastAsia="仿宋_GB2312"/>
          <w:color w:val="000000"/>
          <w:kern w:val="0"/>
          <w:szCs w:val="32"/>
        </w:rPr>
        <w:t xml:space="preserve">  </w:t>
      </w:r>
      <w:r>
        <w:rPr>
          <w:rFonts w:hint="eastAsia" w:eastAsia="仿宋_GB2312"/>
          <w:color w:val="000000"/>
          <w:kern w:val="0"/>
          <w:szCs w:val="32"/>
        </w:rPr>
        <w:t>省级教育行政部门</w:t>
      </w:r>
      <w:r>
        <w:rPr>
          <w:rFonts w:eastAsia="仿宋_GB2312"/>
          <w:color w:val="000000"/>
          <w:kern w:val="0"/>
          <w:szCs w:val="32"/>
        </w:rPr>
        <w:t>统筹五年制高职招生录取工作</w:t>
      </w:r>
      <w:r>
        <w:rPr>
          <w:rFonts w:hint="eastAsia" w:eastAsia="仿宋_GB2312"/>
          <w:color w:val="000000"/>
          <w:kern w:val="0"/>
          <w:szCs w:val="32"/>
        </w:rPr>
        <w:t>。市县</w:t>
      </w:r>
      <w:r>
        <w:rPr>
          <w:rFonts w:eastAsia="仿宋_GB2312"/>
          <w:color w:val="000000"/>
          <w:kern w:val="0"/>
          <w:szCs w:val="32"/>
        </w:rPr>
        <w:t>教育行政部门</w:t>
      </w:r>
      <w:r>
        <w:rPr>
          <w:rFonts w:hint="eastAsia" w:eastAsia="仿宋_GB2312"/>
          <w:color w:val="000000"/>
          <w:kern w:val="0"/>
          <w:szCs w:val="32"/>
        </w:rPr>
        <w:t>应</w:t>
      </w:r>
      <w:r>
        <w:rPr>
          <w:rFonts w:eastAsia="仿宋_GB2312"/>
          <w:color w:val="000000"/>
          <w:kern w:val="0"/>
          <w:szCs w:val="32"/>
        </w:rPr>
        <w:t>建成并规范使用高中阶段学校招生录取平台，</w:t>
      </w:r>
      <w:r>
        <w:rPr>
          <w:rFonts w:hint="eastAsia" w:eastAsia="仿宋_GB2312"/>
          <w:color w:val="000000"/>
          <w:kern w:val="0"/>
          <w:szCs w:val="32"/>
        </w:rPr>
        <w:t>对五年制高职录取设置独立批次，对中高职合作举办的五年制高职给予单独的招生代码，</w:t>
      </w:r>
      <w:r>
        <w:rPr>
          <w:rFonts w:eastAsia="仿宋_GB2312"/>
          <w:color w:val="000000"/>
          <w:kern w:val="0"/>
          <w:szCs w:val="32"/>
        </w:rPr>
        <w:t>为初中毕业生创建公平、透明，可自由选择的升学环境。</w:t>
      </w:r>
      <w:r>
        <w:rPr>
          <w:rFonts w:hint="eastAsia" w:eastAsia="仿宋_GB2312"/>
          <w:color w:val="000000"/>
          <w:kern w:val="0"/>
          <w:szCs w:val="32"/>
        </w:rPr>
        <w:t>高职学院应于每年10月底前将本年度录取的五年制高职学生名单报省级教育行政部门备案。</w:t>
      </w:r>
    </w:p>
    <w:p>
      <w:pPr>
        <w:pStyle w:val="3"/>
        <w:spacing w:before="0" w:beforeLines="0" w:after="0" w:afterLines="0" w:line="600" w:lineRule="exact"/>
        <w:rPr>
          <w:rFonts w:ascii="Times New Roman" w:hAnsi="Times New Roman" w:eastAsia="黑体"/>
          <w:color w:val="000000"/>
          <w:kern w:val="0"/>
        </w:rPr>
      </w:pPr>
      <w:r>
        <w:rPr>
          <w:rFonts w:ascii="Times New Roman" w:hAnsi="Times New Roman" w:eastAsia="黑体"/>
          <w:color w:val="000000"/>
          <w:kern w:val="0"/>
        </w:rPr>
        <w:t>第五章  学籍管理</w:t>
      </w:r>
    </w:p>
    <w:p>
      <w:pPr>
        <w:spacing w:line="600" w:lineRule="exact"/>
        <w:ind w:firstLine="624" w:firstLineChars="200"/>
        <w:rPr>
          <w:rFonts w:eastAsia="仿宋_GB2312"/>
          <w:color w:val="000000"/>
          <w:kern w:val="0"/>
          <w:szCs w:val="32"/>
        </w:rPr>
      </w:pPr>
      <w:r>
        <w:rPr>
          <w:rFonts w:eastAsia="黑体"/>
          <w:color w:val="000000"/>
          <w:kern w:val="0"/>
          <w:szCs w:val="32"/>
        </w:rPr>
        <w:t>第十</w:t>
      </w:r>
      <w:r>
        <w:rPr>
          <w:rFonts w:hint="eastAsia" w:eastAsia="黑体"/>
          <w:color w:val="000000"/>
          <w:kern w:val="0"/>
          <w:szCs w:val="32"/>
        </w:rPr>
        <w:t>七</w:t>
      </w:r>
      <w:r>
        <w:rPr>
          <w:rFonts w:eastAsia="黑体"/>
          <w:color w:val="000000"/>
          <w:kern w:val="0"/>
          <w:szCs w:val="32"/>
        </w:rPr>
        <w:t>条</w:t>
      </w:r>
      <w:r>
        <w:rPr>
          <w:rFonts w:eastAsia="仿宋_GB2312"/>
          <w:color w:val="000000"/>
          <w:kern w:val="0"/>
          <w:szCs w:val="32"/>
        </w:rPr>
        <w:t xml:space="preserve">  五年制高职学生的前三年，由招生学校依程序注册</w:t>
      </w:r>
      <w:r>
        <w:rPr>
          <w:rFonts w:hint="eastAsia" w:eastAsia="仿宋_GB2312"/>
          <w:color w:val="000000"/>
          <w:kern w:val="0"/>
          <w:szCs w:val="32"/>
        </w:rPr>
        <w:t>为</w:t>
      </w:r>
      <w:r>
        <w:rPr>
          <w:rFonts w:eastAsia="仿宋_GB2312"/>
          <w:color w:val="000000"/>
          <w:kern w:val="0"/>
          <w:szCs w:val="32"/>
        </w:rPr>
        <w:t>中</w:t>
      </w:r>
      <w:r>
        <w:rPr>
          <w:rFonts w:hint="eastAsia" w:eastAsia="仿宋_GB2312"/>
          <w:color w:val="000000"/>
          <w:kern w:val="0"/>
          <w:szCs w:val="32"/>
        </w:rPr>
        <w:t>职学生</w:t>
      </w:r>
      <w:r>
        <w:rPr>
          <w:rFonts w:eastAsia="仿宋_GB2312"/>
          <w:color w:val="000000"/>
          <w:kern w:val="0"/>
          <w:szCs w:val="32"/>
        </w:rPr>
        <w:t>学籍，纳入全国中职学校学生管理信息系统</w:t>
      </w:r>
      <w:r>
        <w:rPr>
          <w:rFonts w:hint="eastAsia" w:eastAsia="仿宋_GB2312"/>
          <w:color w:val="000000"/>
          <w:kern w:val="0"/>
          <w:szCs w:val="32"/>
        </w:rPr>
        <w:t>，按照教育部</w:t>
      </w:r>
      <w:r>
        <w:rPr>
          <w:rFonts w:eastAsia="仿宋_GB2312"/>
          <w:color w:val="000000"/>
          <w:kern w:val="0"/>
          <w:szCs w:val="32"/>
        </w:rPr>
        <w:t>《</w:t>
      </w:r>
      <w:r>
        <w:rPr>
          <w:rFonts w:hint="eastAsia" w:eastAsia="仿宋_GB2312"/>
          <w:color w:val="000000"/>
          <w:kern w:val="0"/>
          <w:szCs w:val="32"/>
        </w:rPr>
        <w:t>关于印发&lt;</w:t>
      </w:r>
      <w:r>
        <w:rPr>
          <w:rFonts w:eastAsia="仿宋_GB2312"/>
          <w:color w:val="000000"/>
          <w:kern w:val="0"/>
          <w:szCs w:val="32"/>
        </w:rPr>
        <w:t>中等职业学校学生学籍管理办法</w:t>
      </w:r>
      <w:r>
        <w:rPr>
          <w:rFonts w:hint="eastAsia" w:eastAsia="仿宋_GB2312"/>
          <w:color w:val="000000"/>
          <w:kern w:val="0"/>
          <w:szCs w:val="32"/>
        </w:rPr>
        <w:t>&gt;的通知</w:t>
      </w:r>
      <w:r>
        <w:rPr>
          <w:rFonts w:eastAsia="仿宋_GB2312"/>
          <w:color w:val="000000"/>
          <w:kern w:val="0"/>
          <w:szCs w:val="32"/>
        </w:rPr>
        <w:t>》（教职成〔2010〕7号）</w:t>
      </w:r>
      <w:r>
        <w:rPr>
          <w:rFonts w:hint="eastAsia" w:eastAsia="仿宋_GB2312"/>
          <w:color w:val="000000"/>
          <w:kern w:val="0"/>
          <w:szCs w:val="32"/>
        </w:rPr>
        <w:t>进行</w:t>
      </w:r>
      <w:r>
        <w:rPr>
          <w:rFonts w:eastAsia="仿宋_GB2312"/>
          <w:color w:val="000000"/>
          <w:kern w:val="0"/>
          <w:szCs w:val="32"/>
        </w:rPr>
        <w:t>管理；</w:t>
      </w:r>
      <w:r>
        <w:rPr>
          <w:rFonts w:hint="eastAsia" w:eastAsia="仿宋_GB2312"/>
          <w:color w:val="000000"/>
          <w:kern w:val="0"/>
          <w:szCs w:val="32"/>
        </w:rPr>
        <w:t>后两年转段进入高职教育阶段后，学籍转入中国高等教育学生信息网学籍学历信息管理平台，按照教育部《关于印发&lt;高等学校学生学籍学历电子注册办法&gt;的通知》（教学</w:t>
      </w:r>
      <w:r>
        <w:rPr>
          <w:rFonts w:eastAsia="仿宋_GB2312"/>
          <w:color w:val="000000"/>
          <w:kern w:val="0"/>
          <w:szCs w:val="32"/>
        </w:rPr>
        <w:t>〔201</w:t>
      </w:r>
      <w:r>
        <w:rPr>
          <w:rFonts w:hint="eastAsia" w:eastAsia="仿宋_GB2312"/>
          <w:color w:val="000000"/>
          <w:kern w:val="0"/>
          <w:szCs w:val="32"/>
        </w:rPr>
        <w:t>4</w:t>
      </w:r>
      <w:r>
        <w:rPr>
          <w:rFonts w:eastAsia="仿宋_GB2312"/>
          <w:color w:val="000000"/>
          <w:kern w:val="0"/>
          <w:szCs w:val="32"/>
        </w:rPr>
        <w:t>〕</w:t>
      </w:r>
      <w:r>
        <w:rPr>
          <w:rFonts w:hint="eastAsia" w:eastAsia="仿宋_GB2312"/>
          <w:color w:val="000000"/>
          <w:kern w:val="0"/>
          <w:szCs w:val="32"/>
        </w:rPr>
        <w:t>11号）有关规定注册高等学校学生学籍，并按教育部</w:t>
      </w:r>
      <w:r>
        <w:rPr>
          <w:rFonts w:eastAsia="仿宋_GB2312"/>
          <w:color w:val="000000"/>
          <w:kern w:val="0"/>
          <w:szCs w:val="32"/>
        </w:rPr>
        <w:t>《普通高等学校学生管理规定》（教育部令第41号）</w:t>
      </w:r>
      <w:r>
        <w:rPr>
          <w:rFonts w:hint="eastAsia" w:eastAsia="仿宋_GB2312"/>
          <w:color w:val="000000"/>
          <w:kern w:val="0"/>
          <w:szCs w:val="32"/>
        </w:rPr>
        <w:t>进行</w:t>
      </w:r>
      <w:r>
        <w:rPr>
          <w:rFonts w:eastAsia="仿宋_GB2312"/>
          <w:color w:val="000000"/>
          <w:kern w:val="0"/>
          <w:szCs w:val="32"/>
        </w:rPr>
        <w:t>管理。</w:t>
      </w:r>
    </w:p>
    <w:p>
      <w:pPr>
        <w:spacing w:line="600" w:lineRule="exact"/>
        <w:ind w:firstLine="624" w:firstLineChars="200"/>
        <w:rPr>
          <w:rFonts w:eastAsia="仿宋_GB2312"/>
          <w:color w:val="000000"/>
          <w:kern w:val="0"/>
          <w:szCs w:val="32"/>
        </w:rPr>
      </w:pPr>
      <w:r>
        <w:rPr>
          <w:rFonts w:eastAsia="黑体"/>
          <w:color w:val="000000"/>
          <w:kern w:val="0"/>
          <w:szCs w:val="32"/>
        </w:rPr>
        <w:t>第</w:t>
      </w:r>
      <w:r>
        <w:rPr>
          <w:rFonts w:hint="eastAsia" w:eastAsia="黑体"/>
          <w:color w:val="000000"/>
          <w:kern w:val="0"/>
          <w:szCs w:val="32"/>
        </w:rPr>
        <w:t>十八</w:t>
      </w:r>
      <w:r>
        <w:rPr>
          <w:rFonts w:eastAsia="黑体"/>
          <w:color w:val="000000"/>
          <w:kern w:val="0"/>
          <w:szCs w:val="32"/>
        </w:rPr>
        <w:t>条</w:t>
      </w:r>
      <w:r>
        <w:rPr>
          <w:rFonts w:eastAsia="仿宋_GB2312"/>
          <w:color w:val="000000"/>
          <w:kern w:val="0"/>
          <w:szCs w:val="32"/>
        </w:rPr>
        <w:t xml:space="preserve">  </w:t>
      </w:r>
      <w:r>
        <w:rPr>
          <w:rFonts w:hint="eastAsia" w:eastAsia="仿宋_GB2312"/>
          <w:color w:val="000000"/>
          <w:kern w:val="0"/>
          <w:szCs w:val="32"/>
        </w:rPr>
        <w:t>五年制高职</w:t>
      </w:r>
      <w:r>
        <w:rPr>
          <w:rFonts w:eastAsia="仿宋_GB2312"/>
          <w:color w:val="000000"/>
          <w:kern w:val="0"/>
          <w:szCs w:val="32"/>
        </w:rPr>
        <w:t>学生完成中职阶段学业</w:t>
      </w:r>
      <w:r>
        <w:rPr>
          <w:rFonts w:hint="eastAsia" w:eastAsia="仿宋_GB2312"/>
          <w:color w:val="000000"/>
          <w:kern w:val="0"/>
          <w:szCs w:val="32"/>
        </w:rPr>
        <w:t>且</w:t>
      </w:r>
      <w:r>
        <w:rPr>
          <w:rFonts w:eastAsia="仿宋_GB2312"/>
          <w:color w:val="000000"/>
          <w:kern w:val="0"/>
          <w:szCs w:val="32"/>
        </w:rPr>
        <w:t>成绩合格者，由所在学校提供</w:t>
      </w:r>
      <w:r>
        <w:rPr>
          <w:rFonts w:hint="eastAsia" w:eastAsia="仿宋_GB2312"/>
          <w:color w:val="000000"/>
          <w:kern w:val="0"/>
          <w:szCs w:val="32"/>
        </w:rPr>
        <w:t>学生</w:t>
      </w:r>
      <w:r>
        <w:rPr>
          <w:rFonts w:eastAsia="仿宋_GB2312"/>
          <w:color w:val="000000"/>
          <w:kern w:val="0"/>
          <w:szCs w:val="32"/>
        </w:rPr>
        <w:t>学籍名册，经</w:t>
      </w:r>
      <w:r>
        <w:rPr>
          <w:rFonts w:hint="eastAsia" w:eastAsia="仿宋_GB2312"/>
          <w:color w:val="000000"/>
          <w:kern w:val="0"/>
          <w:szCs w:val="32"/>
        </w:rPr>
        <w:t>相关</w:t>
      </w:r>
      <w:r>
        <w:rPr>
          <w:rFonts w:eastAsia="仿宋_GB2312"/>
          <w:color w:val="000000"/>
          <w:kern w:val="0"/>
          <w:szCs w:val="32"/>
        </w:rPr>
        <w:t>高职学院</w:t>
      </w:r>
      <w:r>
        <w:rPr>
          <w:rFonts w:hint="eastAsia" w:eastAsia="仿宋_GB2312"/>
          <w:color w:val="000000"/>
          <w:kern w:val="0"/>
          <w:szCs w:val="32"/>
        </w:rPr>
        <w:t>考（</w:t>
      </w:r>
      <w:r>
        <w:rPr>
          <w:rFonts w:eastAsia="仿宋_GB2312"/>
          <w:color w:val="000000"/>
          <w:kern w:val="0"/>
          <w:szCs w:val="32"/>
        </w:rPr>
        <w:t>审</w:t>
      </w:r>
      <w:r>
        <w:rPr>
          <w:rFonts w:hint="eastAsia" w:eastAsia="仿宋_GB2312"/>
          <w:color w:val="000000"/>
          <w:kern w:val="0"/>
          <w:szCs w:val="32"/>
        </w:rPr>
        <w:t>）</w:t>
      </w:r>
      <w:r>
        <w:rPr>
          <w:rFonts w:eastAsia="仿宋_GB2312"/>
          <w:color w:val="000000"/>
          <w:kern w:val="0"/>
          <w:szCs w:val="32"/>
        </w:rPr>
        <w:t>核</w:t>
      </w:r>
      <w:r>
        <w:rPr>
          <w:rFonts w:hint="eastAsia" w:eastAsia="仿宋_GB2312"/>
          <w:color w:val="000000"/>
          <w:kern w:val="0"/>
          <w:szCs w:val="32"/>
        </w:rPr>
        <w:t>后</w:t>
      </w:r>
      <w:r>
        <w:rPr>
          <w:rFonts w:eastAsia="仿宋_GB2312"/>
          <w:color w:val="000000"/>
          <w:kern w:val="0"/>
          <w:szCs w:val="32"/>
        </w:rPr>
        <w:t>，</w:t>
      </w:r>
      <w:r>
        <w:rPr>
          <w:rFonts w:hint="eastAsia" w:eastAsia="仿宋_GB2312"/>
          <w:color w:val="000000"/>
          <w:kern w:val="0"/>
          <w:szCs w:val="32"/>
        </w:rPr>
        <w:t>按程序</w:t>
      </w:r>
      <w:r>
        <w:rPr>
          <w:rFonts w:eastAsia="仿宋_GB2312"/>
          <w:color w:val="000000"/>
          <w:kern w:val="0"/>
          <w:szCs w:val="32"/>
        </w:rPr>
        <w:t>办理转段手续。因</w:t>
      </w:r>
      <w:r>
        <w:rPr>
          <w:rFonts w:hint="eastAsia" w:eastAsia="仿宋_GB2312"/>
          <w:color w:val="000000"/>
          <w:kern w:val="0"/>
          <w:szCs w:val="32"/>
        </w:rPr>
        <w:t>考（</w:t>
      </w:r>
      <w:r>
        <w:rPr>
          <w:rFonts w:eastAsia="仿宋_GB2312"/>
          <w:color w:val="000000"/>
          <w:kern w:val="0"/>
          <w:szCs w:val="32"/>
        </w:rPr>
        <w:t>审</w:t>
      </w:r>
      <w:r>
        <w:rPr>
          <w:rFonts w:hint="eastAsia" w:eastAsia="仿宋_GB2312"/>
          <w:color w:val="000000"/>
          <w:kern w:val="0"/>
          <w:szCs w:val="32"/>
        </w:rPr>
        <w:t>）</w:t>
      </w:r>
      <w:r>
        <w:rPr>
          <w:rFonts w:eastAsia="仿宋_GB2312"/>
          <w:color w:val="000000"/>
          <w:kern w:val="0"/>
          <w:szCs w:val="32"/>
        </w:rPr>
        <w:t>核不过关或个人原因无法转入高职阶段学习的学生，由所在学校直接办理中职毕业手续</w:t>
      </w:r>
      <w:r>
        <w:rPr>
          <w:rFonts w:hint="eastAsia" w:eastAsia="仿宋_GB2312"/>
          <w:color w:val="000000"/>
          <w:kern w:val="0"/>
          <w:szCs w:val="32"/>
        </w:rPr>
        <w:t>，颁发中等职业教育毕业证书</w:t>
      </w:r>
      <w:r>
        <w:rPr>
          <w:rFonts w:eastAsia="仿宋_GB2312"/>
          <w:color w:val="000000"/>
          <w:kern w:val="0"/>
          <w:szCs w:val="32"/>
        </w:rPr>
        <w:t>。</w:t>
      </w:r>
    </w:p>
    <w:p>
      <w:pPr>
        <w:spacing w:line="600" w:lineRule="exact"/>
        <w:ind w:firstLine="624" w:firstLineChars="200"/>
        <w:rPr>
          <w:rFonts w:eastAsia="仿宋_GB2312"/>
          <w:color w:val="000000"/>
          <w:kern w:val="0"/>
          <w:szCs w:val="32"/>
        </w:rPr>
      </w:pPr>
      <w:r>
        <w:rPr>
          <w:rFonts w:eastAsia="黑体"/>
          <w:color w:val="000000"/>
          <w:kern w:val="0"/>
          <w:szCs w:val="32"/>
        </w:rPr>
        <w:t>第十</w:t>
      </w:r>
      <w:r>
        <w:rPr>
          <w:rFonts w:hint="eastAsia" w:eastAsia="黑体"/>
          <w:color w:val="000000"/>
          <w:kern w:val="0"/>
          <w:szCs w:val="32"/>
        </w:rPr>
        <w:t>九</w:t>
      </w:r>
      <w:r>
        <w:rPr>
          <w:rFonts w:eastAsia="黑体"/>
          <w:color w:val="000000"/>
          <w:kern w:val="0"/>
          <w:szCs w:val="32"/>
        </w:rPr>
        <w:t>条</w:t>
      </w:r>
      <w:r>
        <w:rPr>
          <w:rFonts w:eastAsia="仿宋_GB2312"/>
          <w:color w:val="000000"/>
          <w:kern w:val="0"/>
          <w:szCs w:val="32"/>
        </w:rPr>
        <w:t xml:space="preserve">  </w:t>
      </w:r>
      <w:r>
        <w:rPr>
          <w:rFonts w:eastAsia="仿宋_GB2312"/>
          <w:color w:val="000000"/>
          <w:spacing w:val="-2"/>
          <w:kern w:val="0"/>
          <w:szCs w:val="32"/>
        </w:rPr>
        <w:t>五年制高职学生，前三年中职教育阶段享受中</w:t>
      </w:r>
      <w:r>
        <w:rPr>
          <w:rFonts w:hint="eastAsia" w:eastAsia="仿宋_GB2312"/>
          <w:color w:val="000000"/>
          <w:spacing w:val="-2"/>
          <w:kern w:val="0"/>
          <w:szCs w:val="32"/>
        </w:rPr>
        <w:t>等职业教育免学费和助学金等相关资助政策</w:t>
      </w:r>
      <w:r>
        <w:rPr>
          <w:rFonts w:eastAsia="仿宋_GB2312"/>
          <w:color w:val="000000"/>
          <w:spacing w:val="-2"/>
          <w:kern w:val="0"/>
          <w:szCs w:val="32"/>
        </w:rPr>
        <w:t>；后两年高职教育阶段享受</w:t>
      </w:r>
      <w:r>
        <w:rPr>
          <w:rFonts w:hint="eastAsia" w:eastAsia="仿宋_GB2312"/>
          <w:color w:val="000000"/>
          <w:spacing w:val="-2"/>
          <w:kern w:val="0"/>
          <w:szCs w:val="32"/>
        </w:rPr>
        <w:t>高等教育相关资助政策</w:t>
      </w:r>
      <w:r>
        <w:rPr>
          <w:rFonts w:eastAsia="仿宋_GB2312"/>
          <w:color w:val="000000"/>
          <w:spacing w:val="-2"/>
          <w:kern w:val="0"/>
          <w:szCs w:val="32"/>
        </w:rPr>
        <w:t>。学生修业期满，成绩合格者按规定颁发</w:t>
      </w:r>
      <w:r>
        <w:rPr>
          <w:rFonts w:hint="eastAsia" w:eastAsia="仿宋_GB2312"/>
          <w:color w:val="000000"/>
          <w:spacing w:val="-2"/>
          <w:kern w:val="0"/>
          <w:szCs w:val="32"/>
        </w:rPr>
        <w:t>高职专科</w:t>
      </w:r>
      <w:r>
        <w:rPr>
          <w:rFonts w:eastAsia="仿宋_GB2312"/>
          <w:color w:val="000000"/>
          <w:spacing w:val="-2"/>
          <w:kern w:val="0"/>
          <w:szCs w:val="32"/>
        </w:rPr>
        <w:t>学历证书。毕业生享受高职学院毕业生待遇</w:t>
      </w:r>
      <w:r>
        <w:rPr>
          <w:rFonts w:eastAsia="仿宋_GB2312"/>
          <w:color w:val="000000"/>
          <w:kern w:val="0"/>
          <w:szCs w:val="32"/>
        </w:rPr>
        <w:t>。</w:t>
      </w:r>
    </w:p>
    <w:p>
      <w:pPr>
        <w:pStyle w:val="3"/>
        <w:spacing w:before="0" w:beforeLines="0" w:after="0" w:afterLines="0" w:line="600" w:lineRule="exact"/>
        <w:rPr>
          <w:rFonts w:ascii="Times New Roman" w:hAnsi="Times New Roman" w:eastAsia="黑体"/>
          <w:color w:val="000000"/>
          <w:kern w:val="0"/>
        </w:rPr>
      </w:pPr>
      <w:r>
        <w:rPr>
          <w:rFonts w:ascii="Times New Roman" w:hAnsi="Times New Roman" w:eastAsia="黑体"/>
          <w:color w:val="000000"/>
          <w:kern w:val="0"/>
        </w:rPr>
        <w:t>第六章  教育教学</w:t>
      </w:r>
    </w:p>
    <w:p>
      <w:pPr>
        <w:spacing w:line="600" w:lineRule="exact"/>
        <w:ind w:firstLine="624" w:firstLineChars="200"/>
        <w:rPr>
          <w:rFonts w:eastAsia="仿宋_GB2312"/>
          <w:color w:val="000000"/>
          <w:kern w:val="0"/>
          <w:szCs w:val="32"/>
        </w:rPr>
      </w:pPr>
      <w:r>
        <w:rPr>
          <w:rFonts w:eastAsia="黑体"/>
          <w:color w:val="000000"/>
          <w:kern w:val="0"/>
          <w:szCs w:val="32"/>
        </w:rPr>
        <w:t>第二十条</w:t>
      </w:r>
      <w:r>
        <w:rPr>
          <w:rFonts w:eastAsia="仿宋_GB2312"/>
          <w:color w:val="000000"/>
          <w:kern w:val="0"/>
          <w:szCs w:val="32"/>
        </w:rPr>
        <w:t xml:space="preserve">  </w:t>
      </w:r>
      <w:r>
        <w:rPr>
          <w:rFonts w:hint="eastAsia" w:eastAsia="仿宋_GB2312"/>
          <w:color w:val="000000"/>
          <w:kern w:val="0"/>
          <w:szCs w:val="32"/>
        </w:rPr>
        <w:t>举办五年制高职的</w:t>
      </w:r>
      <w:r>
        <w:rPr>
          <w:rFonts w:eastAsia="仿宋_GB2312"/>
          <w:color w:val="000000"/>
          <w:kern w:val="0"/>
          <w:szCs w:val="32"/>
        </w:rPr>
        <w:t>院校应组建</w:t>
      </w:r>
      <w:r>
        <w:rPr>
          <w:rFonts w:hint="eastAsia" w:eastAsia="仿宋_GB2312"/>
          <w:color w:val="000000"/>
          <w:kern w:val="0"/>
          <w:szCs w:val="32"/>
        </w:rPr>
        <w:t>由职业院校</w:t>
      </w:r>
      <w:r>
        <w:rPr>
          <w:rFonts w:eastAsia="仿宋_GB2312"/>
          <w:color w:val="000000"/>
          <w:kern w:val="0"/>
          <w:szCs w:val="32"/>
        </w:rPr>
        <w:t>、行业、企</w:t>
      </w:r>
      <w:r>
        <w:rPr>
          <w:rFonts w:hint="eastAsia" w:eastAsia="仿宋_GB2312"/>
          <w:color w:val="000000"/>
          <w:kern w:val="0"/>
          <w:szCs w:val="32"/>
        </w:rPr>
        <w:t>（</w:t>
      </w:r>
      <w:r>
        <w:rPr>
          <w:rFonts w:eastAsia="仿宋_GB2312"/>
          <w:color w:val="000000"/>
          <w:kern w:val="0"/>
          <w:szCs w:val="32"/>
        </w:rPr>
        <w:t>事</w:t>
      </w:r>
      <w:r>
        <w:rPr>
          <w:rFonts w:hint="eastAsia" w:eastAsia="仿宋_GB2312"/>
          <w:color w:val="000000"/>
          <w:kern w:val="0"/>
          <w:szCs w:val="32"/>
        </w:rPr>
        <w:t>）</w:t>
      </w:r>
      <w:r>
        <w:rPr>
          <w:rFonts w:eastAsia="仿宋_GB2312"/>
          <w:color w:val="000000"/>
          <w:kern w:val="0"/>
          <w:szCs w:val="32"/>
        </w:rPr>
        <w:t>业单位</w:t>
      </w:r>
      <w:r>
        <w:rPr>
          <w:rFonts w:hint="eastAsia" w:eastAsia="仿宋_GB2312"/>
          <w:color w:val="000000"/>
          <w:kern w:val="0"/>
          <w:szCs w:val="32"/>
        </w:rPr>
        <w:t>专家共同</w:t>
      </w:r>
      <w:r>
        <w:rPr>
          <w:rFonts w:eastAsia="仿宋_GB2312"/>
          <w:color w:val="000000"/>
          <w:kern w:val="0"/>
          <w:szCs w:val="32"/>
        </w:rPr>
        <w:t>参加的专业教学指导委员会，根据</w:t>
      </w:r>
      <w:r>
        <w:rPr>
          <w:rFonts w:hint="eastAsia" w:eastAsia="仿宋_GB2312"/>
          <w:color w:val="000000"/>
          <w:kern w:val="0"/>
          <w:szCs w:val="32"/>
        </w:rPr>
        <w:t>国家和省相关专业教学标准，</w:t>
      </w:r>
      <w:r>
        <w:rPr>
          <w:rFonts w:eastAsia="仿宋_GB2312"/>
          <w:color w:val="000000"/>
          <w:kern w:val="0"/>
          <w:szCs w:val="32"/>
        </w:rPr>
        <w:t>共同制定专业人才培养方案</w:t>
      </w:r>
      <w:r>
        <w:rPr>
          <w:rFonts w:hint="eastAsia" w:eastAsia="仿宋_GB2312"/>
          <w:color w:val="000000"/>
          <w:kern w:val="0"/>
          <w:szCs w:val="32"/>
        </w:rPr>
        <w:t>。</w:t>
      </w:r>
    </w:p>
    <w:p>
      <w:pPr>
        <w:spacing w:line="600" w:lineRule="exact"/>
        <w:ind w:firstLine="624" w:firstLineChars="200"/>
        <w:rPr>
          <w:rFonts w:eastAsia="仿宋_GB2312"/>
          <w:color w:val="000000"/>
          <w:spacing w:val="-2"/>
          <w:kern w:val="0"/>
          <w:szCs w:val="32"/>
        </w:rPr>
      </w:pPr>
      <w:r>
        <w:rPr>
          <w:rFonts w:eastAsia="黑体"/>
          <w:color w:val="000000"/>
          <w:kern w:val="0"/>
          <w:szCs w:val="32"/>
        </w:rPr>
        <w:t>第二十</w:t>
      </w:r>
      <w:r>
        <w:rPr>
          <w:rFonts w:hint="eastAsia" w:eastAsia="黑体"/>
          <w:color w:val="000000"/>
          <w:kern w:val="0"/>
          <w:szCs w:val="32"/>
        </w:rPr>
        <w:t>一</w:t>
      </w:r>
      <w:r>
        <w:rPr>
          <w:rFonts w:eastAsia="黑体"/>
          <w:color w:val="000000"/>
          <w:kern w:val="0"/>
          <w:szCs w:val="32"/>
        </w:rPr>
        <w:t>条</w:t>
      </w:r>
      <w:r>
        <w:rPr>
          <w:rFonts w:eastAsia="仿宋_GB2312"/>
          <w:color w:val="000000"/>
          <w:kern w:val="0"/>
          <w:szCs w:val="32"/>
        </w:rPr>
        <w:t xml:space="preserve">  </w:t>
      </w:r>
      <w:r>
        <w:rPr>
          <w:rFonts w:hint="eastAsia" w:eastAsia="仿宋_GB2312"/>
          <w:color w:val="000000"/>
          <w:spacing w:val="-2"/>
          <w:kern w:val="0"/>
          <w:szCs w:val="32"/>
        </w:rPr>
        <w:t>举办五年制</w:t>
      </w:r>
      <w:r>
        <w:rPr>
          <w:rFonts w:hint="eastAsia" w:eastAsia="仿宋_GB2312"/>
          <w:color w:val="000000"/>
          <w:kern w:val="0"/>
          <w:szCs w:val="32"/>
        </w:rPr>
        <w:t>高职</w:t>
      </w:r>
      <w:r>
        <w:rPr>
          <w:rFonts w:hint="eastAsia" w:eastAsia="仿宋_GB2312"/>
          <w:color w:val="000000"/>
          <w:spacing w:val="-2"/>
          <w:kern w:val="0"/>
          <w:szCs w:val="32"/>
        </w:rPr>
        <w:t>的院校应依据专业人才培养方案，围绕人才培养目标，进行一体化课程设计，建立中高职相互衔接的课程体系，积极开展课程资源建设，推动教学资源共建共享。合理安排学生实习实训，学生顶岗实习一般为6个月，原则上安排在高职教育阶段进行。医药卫生类专业学生的顶岗实习时间遵照相关专业规定安排。</w:t>
      </w:r>
    </w:p>
    <w:p>
      <w:pPr>
        <w:spacing w:line="600" w:lineRule="exact"/>
        <w:ind w:firstLine="624" w:firstLineChars="200"/>
        <w:rPr>
          <w:rFonts w:eastAsia="仿宋_GB2312"/>
          <w:color w:val="000000"/>
          <w:kern w:val="0"/>
          <w:szCs w:val="32"/>
        </w:rPr>
      </w:pPr>
      <w:r>
        <w:rPr>
          <w:rFonts w:eastAsia="黑体"/>
          <w:color w:val="000000"/>
          <w:kern w:val="0"/>
          <w:szCs w:val="32"/>
        </w:rPr>
        <w:t>第二十</w:t>
      </w:r>
      <w:r>
        <w:rPr>
          <w:rFonts w:hint="eastAsia" w:eastAsia="黑体"/>
          <w:color w:val="000000"/>
          <w:kern w:val="0"/>
          <w:szCs w:val="32"/>
        </w:rPr>
        <w:t>二</w:t>
      </w:r>
      <w:r>
        <w:rPr>
          <w:rFonts w:eastAsia="黑体"/>
          <w:color w:val="000000"/>
          <w:kern w:val="0"/>
          <w:szCs w:val="32"/>
        </w:rPr>
        <w:t>条</w:t>
      </w:r>
      <w:r>
        <w:rPr>
          <w:rFonts w:eastAsia="仿宋_GB2312"/>
          <w:color w:val="000000"/>
          <w:kern w:val="0"/>
          <w:szCs w:val="32"/>
        </w:rPr>
        <w:t xml:space="preserve"> </w:t>
      </w:r>
      <w:r>
        <w:rPr>
          <w:rFonts w:hint="eastAsia" w:eastAsia="仿宋_GB2312"/>
          <w:color w:val="000000"/>
          <w:kern w:val="0"/>
          <w:szCs w:val="32"/>
        </w:rPr>
        <w:t>省级教育行政部门将五年制高职纳入全省职业院校</w:t>
      </w:r>
      <w:r>
        <w:rPr>
          <w:rFonts w:eastAsia="仿宋_GB2312"/>
          <w:color w:val="000000"/>
          <w:kern w:val="0"/>
          <w:szCs w:val="32"/>
        </w:rPr>
        <w:t>专业办学水平合格性评价和分类评价</w:t>
      </w:r>
      <w:r>
        <w:rPr>
          <w:rFonts w:hint="eastAsia" w:eastAsia="仿宋_GB2312"/>
          <w:color w:val="000000"/>
          <w:kern w:val="0"/>
          <w:szCs w:val="32"/>
        </w:rPr>
        <w:t>体系</w:t>
      </w:r>
      <w:r>
        <w:rPr>
          <w:rFonts w:eastAsia="仿宋_GB2312"/>
          <w:color w:val="000000"/>
          <w:kern w:val="0"/>
          <w:szCs w:val="32"/>
        </w:rPr>
        <w:t>，定期开展教学视导、督导、检查等。五年制高职学生前三年</w:t>
      </w:r>
      <w:r>
        <w:rPr>
          <w:rFonts w:hint="eastAsia" w:eastAsia="仿宋_GB2312"/>
          <w:color w:val="000000"/>
          <w:kern w:val="0"/>
          <w:szCs w:val="32"/>
        </w:rPr>
        <w:t>应按规定</w:t>
      </w:r>
      <w:r>
        <w:rPr>
          <w:rFonts w:eastAsia="仿宋_GB2312"/>
          <w:color w:val="000000"/>
          <w:kern w:val="0"/>
          <w:szCs w:val="32"/>
        </w:rPr>
        <w:t>参加全省中职学校公共基础课普测和专业技能抽测，后两年</w:t>
      </w:r>
      <w:r>
        <w:rPr>
          <w:rFonts w:hint="eastAsia" w:eastAsia="仿宋_GB2312"/>
          <w:color w:val="000000"/>
          <w:kern w:val="0"/>
          <w:szCs w:val="32"/>
        </w:rPr>
        <w:t>应按规定</w:t>
      </w:r>
      <w:r>
        <w:rPr>
          <w:rFonts w:eastAsia="仿宋_GB2312"/>
          <w:color w:val="000000"/>
          <w:kern w:val="0"/>
          <w:szCs w:val="32"/>
        </w:rPr>
        <w:t>参加全省高职学院</w:t>
      </w:r>
      <w:r>
        <w:rPr>
          <w:rFonts w:hint="eastAsia" w:eastAsia="仿宋_GB2312"/>
          <w:color w:val="000000"/>
          <w:kern w:val="0"/>
          <w:szCs w:val="32"/>
        </w:rPr>
        <w:t>学生</w:t>
      </w:r>
      <w:r>
        <w:rPr>
          <w:rFonts w:eastAsia="仿宋_GB2312"/>
          <w:color w:val="000000"/>
          <w:kern w:val="0"/>
          <w:szCs w:val="32"/>
        </w:rPr>
        <w:t>专业技能抽查和毕业设计抽查。</w:t>
      </w:r>
    </w:p>
    <w:p>
      <w:pPr>
        <w:spacing w:line="600" w:lineRule="exact"/>
        <w:ind w:firstLine="624" w:firstLineChars="200"/>
        <w:rPr>
          <w:rFonts w:eastAsia="仿宋_GB2312"/>
          <w:color w:val="000000"/>
          <w:kern w:val="0"/>
          <w:szCs w:val="32"/>
          <w:highlight w:val="yellow"/>
        </w:rPr>
      </w:pPr>
      <w:r>
        <w:rPr>
          <w:rFonts w:eastAsia="黑体"/>
          <w:color w:val="000000"/>
          <w:kern w:val="0"/>
          <w:szCs w:val="32"/>
        </w:rPr>
        <w:t>第二十</w:t>
      </w:r>
      <w:r>
        <w:rPr>
          <w:rFonts w:hint="eastAsia" w:eastAsia="黑体"/>
          <w:color w:val="000000"/>
          <w:kern w:val="0"/>
          <w:szCs w:val="32"/>
        </w:rPr>
        <w:t>三</w:t>
      </w:r>
      <w:r>
        <w:rPr>
          <w:rFonts w:eastAsia="黑体"/>
          <w:color w:val="000000"/>
          <w:kern w:val="0"/>
          <w:szCs w:val="32"/>
        </w:rPr>
        <w:t>条</w:t>
      </w:r>
      <w:r>
        <w:rPr>
          <w:rFonts w:hint="eastAsia" w:eastAsia="黑体"/>
          <w:color w:val="000000"/>
          <w:kern w:val="0"/>
          <w:szCs w:val="32"/>
        </w:rPr>
        <w:t xml:space="preserve">  </w:t>
      </w:r>
      <w:r>
        <w:rPr>
          <w:rFonts w:hint="eastAsia" w:eastAsia="仿宋_GB2312"/>
          <w:color w:val="000000"/>
          <w:kern w:val="0"/>
          <w:szCs w:val="32"/>
        </w:rPr>
        <w:t>五年一贯制的学生就业由高职学院负责。中高职合作举办三二分段制的学生就业工作由合作院校协商完成，其中完成转段的学生就业由高职学院负责，未完成转段的学生就业由中职学校负责。</w:t>
      </w:r>
    </w:p>
    <w:p>
      <w:pPr>
        <w:pStyle w:val="3"/>
        <w:spacing w:before="0" w:beforeLines="0" w:after="0" w:afterLines="0" w:line="600" w:lineRule="exact"/>
        <w:rPr>
          <w:rFonts w:ascii="Times New Roman" w:hAnsi="Times New Roman" w:eastAsia="黑体"/>
          <w:color w:val="000000"/>
          <w:kern w:val="0"/>
        </w:rPr>
      </w:pPr>
      <w:r>
        <w:rPr>
          <w:rFonts w:ascii="Times New Roman" w:hAnsi="Times New Roman" w:eastAsia="黑体"/>
          <w:color w:val="000000"/>
          <w:kern w:val="0"/>
        </w:rPr>
        <w:t>第七章  监督管理</w:t>
      </w:r>
    </w:p>
    <w:p>
      <w:pPr>
        <w:spacing w:line="600" w:lineRule="exact"/>
        <w:ind w:firstLine="624" w:firstLineChars="200"/>
        <w:rPr>
          <w:rFonts w:eastAsia="仿宋_GB2312"/>
          <w:color w:val="000000"/>
          <w:kern w:val="0"/>
          <w:szCs w:val="32"/>
        </w:rPr>
      </w:pPr>
      <w:r>
        <w:rPr>
          <w:rFonts w:hint="eastAsia" w:eastAsia="黑体"/>
          <w:color w:val="000000"/>
          <w:kern w:val="0"/>
          <w:szCs w:val="32"/>
        </w:rPr>
        <w:t>第二十四条</w:t>
      </w:r>
      <w:r>
        <w:rPr>
          <w:rFonts w:eastAsia="仿宋_GB2312"/>
          <w:color w:val="000000"/>
          <w:kern w:val="0"/>
          <w:szCs w:val="32"/>
        </w:rPr>
        <w:t xml:space="preserve">  </w:t>
      </w:r>
      <w:r>
        <w:rPr>
          <w:rFonts w:hint="eastAsia" w:eastAsia="仿宋_GB2312"/>
          <w:color w:val="000000"/>
          <w:kern w:val="0"/>
          <w:szCs w:val="32"/>
        </w:rPr>
        <w:t>明确五年制高职的</w:t>
      </w:r>
      <w:r>
        <w:rPr>
          <w:rFonts w:eastAsia="仿宋_GB2312"/>
          <w:color w:val="000000"/>
          <w:kern w:val="0"/>
          <w:szCs w:val="32"/>
        </w:rPr>
        <w:t>人才培养及</w:t>
      </w:r>
      <w:r>
        <w:rPr>
          <w:rFonts w:hint="eastAsia" w:eastAsia="仿宋_GB2312"/>
          <w:color w:val="000000"/>
          <w:kern w:val="0"/>
          <w:szCs w:val="32"/>
        </w:rPr>
        <w:t>学生</w:t>
      </w:r>
      <w:r>
        <w:rPr>
          <w:rFonts w:eastAsia="仿宋_GB2312"/>
          <w:color w:val="000000"/>
          <w:kern w:val="0"/>
          <w:szCs w:val="32"/>
        </w:rPr>
        <w:t>管理主体</w:t>
      </w:r>
      <w:r>
        <w:rPr>
          <w:rFonts w:hint="eastAsia" w:eastAsia="仿宋_GB2312"/>
          <w:color w:val="000000"/>
          <w:kern w:val="0"/>
          <w:szCs w:val="32"/>
        </w:rPr>
        <w:t>责任。</w:t>
      </w:r>
      <w:r>
        <w:rPr>
          <w:rFonts w:eastAsia="仿宋_GB2312"/>
          <w:color w:val="000000"/>
          <w:kern w:val="0"/>
          <w:szCs w:val="32"/>
        </w:rPr>
        <w:t>三二</w:t>
      </w:r>
      <w:r>
        <w:rPr>
          <w:rFonts w:hint="eastAsia" w:eastAsia="仿宋_GB2312"/>
          <w:color w:val="000000"/>
          <w:kern w:val="0"/>
          <w:szCs w:val="32"/>
        </w:rPr>
        <w:t>分段制的</w:t>
      </w:r>
      <w:r>
        <w:rPr>
          <w:rFonts w:eastAsia="仿宋_GB2312"/>
          <w:color w:val="000000"/>
          <w:kern w:val="0"/>
          <w:szCs w:val="32"/>
        </w:rPr>
        <w:t>前三年人才培养及</w:t>
      </w:r>
      <w:r>
        <w:rPr>
          <w:rFonts w:hint="eastAsia" w:eastAsia="仿宋_GB2312"/>
          <w:color w:val="000000"/>
          <w:kern w:val="0"/>
          <w:szCs w:val="32"/>
        </w:rPr>
        <w:t>学生</w:t>
      </w:r>
      <w:r>
        <w:rPr>
          <w:rFonts w:eastAsia="仿宋_GB2312"/>
          <w:color w:val="000000"/>
          <w:kern w:val="0"/>
          <w:szCs w:val="32"/>
        </w:rPr>
        <w:t>管理主体</w:t>
      </w:r>
      <w:r>
        <w:rPr>
          <w:rFonts w:hint="eastAsia" w:eastAsia="仿宋_GB2312"/>
          <w:color w:val="000000"/>
          <w:kern w:val="0"/>
          <w:szCs w:val="32"/>
        </w:rPr>
        <w:t>责任由</w:t>
      </w:r>
      <w:r>
        <w:rPr>
          <w:rFonts w:eastAsia="仿宋_GB2312"/>
          <w:color w:val="000000"/>
          <w:kern w:val="0"/>
          <w:szCs w:val="32"/>
        </w:rPr>
        <w:t>中职学校</w:t>
      </w:r>
      <w:r>
        <w:rPr>
          <w:rFonts w:hint="eastAsia" w:eastAsia="仿宋_GB2312"/>
          <w:color w:val="000000"/>
          <w:kern w:val="0"/>
          <w:szCs w:val="32"/>
        </w:rPr>
        <w:t>承担</w:t>
      </w:r>
      <w:r>
        <w:rPr>
          <w:rFonts w:eastAsia="仿宋_GB2312"/>
          <w:color w:val="000000"/>
          <w:kern w:val="0"/>
          <w:szCs w:val="32"/>
        </w:rPr>
        <w:t>，后两年人才培养及</w:t>
      </w:r>
      <w:r>
        <w:rPr>
          <w:rFonts w:hint="eastAsia" w:eastAsia="仿宋_GB2312"/>
          <w:color w:val="000000"/>
          <w:kern w:val="0"/>
          <w:szCs w:val="32"/>
        </w:rPr>
        <w:t>学生</w:t>
      </w:r>
      <w:r>
        <w:rPr>
          <w:rFonts w:eastAsia="仿宋_GB2312"/>
          <w:color w:val="000000"/>
          <w:kern w:val="0"/>
          <w:szCs w:val="32"/>
        </w:rPr>
        <w:t>管理主体</w:t>
      </w:r>
      <w:r>
        <w:rPr>
          <w:rFonts w:hint="eastAsia" w:eastAsia="仿宋_GB2312"/>
          <w:color w:val="000000"/>
          <w:kern w:val="0"/>
          <w:szCs w:val="32"/>
        </w:rPr>
        <w:t>责任由合作</w:t>
      </w:r>
      <w:r>
        <w:rPr>
          <w:rFonts w:eastAsia="仿宋_GB2312"/>
          <w:color w:val="000000"/>
          <w:kern w:val="0"/>
          <w:szCs w:val="32"/>
        </w:rPr>
        <w:t>高职学院</w:t>
      </w:r>
      <w:r>
        <w:rPr>
          <w:rFonts w:hint="eastAsia" w:eastAsia="仿宋_GB2312"/>
          <w:color w:val="000000"/>
          <w:kern w:val="0"/>
          <w:szCs w:val="32"/>
        </w:rPr>
        <w:t>承担</w:t>
      </w:r>
      <w:r>
        <w:rPr>
          <w:rFonts w:eastAsia="仿宋_GB2312"/>
          <w:color w:val="000000"/>
          <w:kern w:val="0"/>
          <w:szCs w:val="32"/>
        </w:rPr>
        <w:t>。</w:t>
      </w:r>
      <w:r>
        <w:rPr>
          <w:rFonts w:hint="eastAsia" w:eastAsia="仿宋_GB2312"/>
          <w:color w:val="000000"/>
          <w:kern w:val="0"/>
          <w:szCs w:val="32"/>
        </w:rPr>
        <w:t>高职学院独立举办的五年一贯制，</w:t>
      </w:r>
      <w:r>
        <w:rPr>
          <w:rFonts w:eastAsia="仿宋_GB2312"/>
          <w:color w:val="000000"/>
          <w:kern w:val="0"/>
          <w:szCs w:val="32"/>
        </w:rPr>
        <w:t>人才培养及</w:t>
      </w:r>
      <w:r>
        <w:rPr>
          <w:rFonts w:hint="eastAsia" w:eastAsia="仿宋_GB2312"/>
          <w:color w:val="000000"/>
          <w:kern w:val="0"/>
          <w:szCs w:val="32"/>
        </w:rPr>
        <w:t>学生</w:t>
      </w:r>
      <w:r>
        <w:rPr>
          <w:rFonts w:eastAsia="仿宋_GB2312"/>
          <w:color w:val="000000"/>
          <w:kern w:val="0"/>
          <w:szCs w:val="32"/>
        </w:rPr>
        <w:t>管理主体</w:t>
      </w:r>
      <w:r>
        <w:rPr>
          <w:rFonts w:hint="eastAsia" w:eastAsia="仿宋_GB2312"/>
          <w:color w:val="000000"/>
          <w:kern w:val="0"/>
          <w:szCs w:val="32"/>
        </w:rPr>
        <w:t>责任由高职学院自主承担。高职学院应对中高职合作举办的五年制高职的教育教学工作给予指导和监督，把中职学校教学工作纳入本校办学评估和质量监控体系，定期开展教学检查，建立专门教学档案；中职学校须认真执行五年制高职教学计划，主动接受合作高职学院的指导和监督。</w:t>
      </w:r>
    </w:p>
    <w:p>
      <w:pPr>
        <w:spacing w:line="600" w:lineRule="exact"/>
        <w:ind w:firstLine="624" w:firstLineChars="200"/>
        <w:rPr>
          <w:rFonts w:eastAsia="仿宋_GB2312"/>
          <w:color w:val="000000"/>
          <w:kern w:val="0"/>
          <w:szCs w:val="32"/>
        </w:rPr>
      </w:pPr>
      <w:r>
        <w:rPr>
          <w:rFonts w:eastAsia="黑体"/>
          <w:color w:val="000000"/>
          <w:kern w:val="0"/>
          <w:szCs w:val="32"/>
        </w:rPr>
        <w:t>第二十</w:t>
      </w:r>
      <w:r>
        <w:rPr>
          <w:rFonts w:hint="eastAsia" w:eastAsia="黑体"/>
          <w:color w:val="000000"/>
          <w:kern w:val="0"/>
          <w:szCs w:val="32"/>
        </w:rPr>
        <w:t>五</w:t>
      </w:r>
      <w:r>
        <w:rPr>
          <w:rFonts w:eastAsia="黑体"/>
          <w:color w:val="000000"/>
          <w:kern w:val="0"/>
          <w:szCs w:val="32"/>
        </w:rPr>
        <w:t>条</w:t>
      </w:r>
      <w:r>
        <w:rPr>
          <w:rFonts w:eastAsia="仿宋_GB2312"/>
          <w:color w:val="000000"/>
          <w:kern w:val="0"/>
          <w:szCs w:val="32"/>
        </w:rPr>
        <w:t xml:space="preserve">  五年制高职</w:t>
      </w:r>
      <w:r>
        <w:rPr>
          <w:rFonts w:hint="eastAsia" w:eastAsia="仿宋_GB2312"/>
          <w:color w:val="000000"/>
          <w:kern w:val="0"/>
          <w:szCs w:val="32"/>
        </w:rPr>
        <w:t>由省级教育行政部门进行统筹管理，并对各招生院校办学行为进行监管。</w:t>
      </w:r>
      <w:r>
        <w:rPr>
          <w:rFonts w:eastAsia="仿宋_GB2312"/>
          <w:color w:val="000000"/>
          <w:kern w:val="0"/>
          <w:szCs w:val="32"/>
        </w:rPr>
        <w:t>招生</w:t>
      </w:r>
      <w:r>
        <w:rPr>
          <w:rFonts w:hint="eastAsia" w:eastAsia="仿宋_GB2312"/>
          <w:color w:val="000000"/>
          <w:kern w:val="0"/>
          <w:szCs w:val="32"/>
        </w:rPr>
        <w:t>统一纳入全省高中阶段教育阳光招生管理，严格执行湖南省教育厅等三部门</w:t>
      </w:r>
      <w:r>
        <w:rPr>
          <w:rFonts w:eastAsia="仿宋_GB2312"/>
          <w:color w:val="000000"/>
          <w:kern w:val="0"/>
          <w:szCs w:val="32"/>
        </w:rPr>
        <w:t>《</w:t>
      </w:r>
      <w:r>
        <w:rPr>
          <w:rFonts w:hint="eastAsia" w:eastAsia="仿宋_GB2312"/>
          <w:color w:val="000000"/>
          <w:kern w:val="0"/>
          <w:szCs w:val="32"/>
        </w:rPr>
        <w:t>关于</w:t>
      </w:r>
      <w:r>
        <w:rPr>
          <w:rFonts w:eastAsia="仿宋_GB2312"/>
          <w:color w:val="000000"/>
          <w:kern w:val="0"/>
          <w:szCs w:val="32"/>
        </w:rPr>
        <w:t>进一步加强全省中等职业学校阳光招生工作的通知》（湘教通〔2020〕57号）</w:t>
      </w:r>
      <w:r>
        <w:rPr>
          <w:rFonts w:hint="eastAsia" w:eastAsia="仿宋_GB2312"/>
          <w:color w:val="000000"/>
          <w:kern w:val="0"/>
          <w:szCs w:val="32"/>
        </w:rPr>
        <w:t>、</w:t>
      </w:r>
      <w:r>
        <w:rPr>
          <w:rFonts w:eastAsia="仿宋_GB2312"/>
          <w:color w:val="000000"/>
          <w:kern w:val="0"/>
          <w:szCs w:val="32"/>
        </w:rPr>
        <w:t>《湖南省高中阶段学校招生工作“六条禁令”》等文件</w:t>
      </w:r>
      <w:r>
        <w:rPr>
          <w:rFonts w:hint="eastAsia" w:eastAsia="仿宋_GB2312"/>
          <w:color w:val="000000"/>
          <w:kern w:val="0"/>
          <w:szCs w:val="32"/>
        </w:rPr>
        <w:t>，由各市州教育行政部门对五年制招生进行全程监管。各招生院校在市州教育行政部门监督指导下，认真做好招生资格审查、招生计划备案、招生宣传录取等工作，切实</w:t>
      </w:r>
      <w:r>
        <w:rPr>
          <w:rFonts w:eastAsia="仿宋_GB2312"/>
          <w:color w:val="000000"/>
          <w:kern w:val="0"/>
          <w:szCs w:val="32"/>
        </w:rPr>
        <w:t>规范招生办学行为。</w:t>
      </w:r>
    </w:p>
    <w:p>
      <w:pPr>
        <w:spacing w:line="600" w:lineRule="exact"/>
        <w:ind w:firstLine="624" w:firstLineChars="200"/>
        <w:rPr>
          <w:rFonts w:eastAsia="仿宋_GB2312"/>
          <w:color w:val="000000"/>
          <w:kern w:val="0"/>
          <w:szCs w:val="32"/>
        </w:rPr>
      </w:pPr>
      <w:r>
        <w:rPr>
          <w:rFonts w:eastAsia="黑体"/>
          <w:color w:val="000000"/>
          <w:kern w:val="0"/>
          <w:szCs w:val="32"/>
        </w:rPr>
        <w:t>第二十</w:t>
      </w:r>
      <w:r>
        <w:rPr>
          <w:rFonts w:hint="eastAsia" w:eastAsia="黑体"/>
          <w:color w:val="000000"/>
          <w:kern w:val="0"/>
          <w:szCs w:val="32"/>
        </w:rPr>
        <w:t>六</w:t>
      </w:r>
      <w:r>
        <w:rPr>
          <w:rFonts w:eastAsia="黑体"/>
          <w:color w:val="000000"/>
          <w:kern w:val="0"/>
          <w:szCs w:val="32"/>
        </w:rPr>
        <w:t>条</w:t>
      </w:r>
      <w:r>
        <w:rPr>
          <w:rFonts w:eastAsia="仿宋_GB2312"/>
          <w:color w:val="000000"/>
          <w:kern w:val="0"/>
          <w:szCs w:val="32"/>
        </w:rPr>
        <w:t xml:space="preserve">  </w:t>
      </w:r>
      <w:r>
        <w:rPr>
          <w:rFonts w:hint="eastAsia" w:eastAsia="仿宋_GB2312"/>
          <w:color w:val="000000"/>
          <w:kern w:val="0"/>
          <w:szCs w:val="32"/>
        </w:rPr>
        <w:t>省级教育行政部门</w:t>
      </w:r>
      <w:r>
        <w:rPr>
          <w:rFonts w:eastAsia="仿宋_GB2312"/>
          <w:color w:val="000000"/>
          <w:kern w:val="0"/>
          <w:szCs w:val="32"/>
        </w:rPr>
        <w:t>建立并实施五年制高职负面清单管理制度，对</w:t>
      </w:r>
      <w:r>
        <w:rPr>
          <w:rFonts w:eastAsia="仿宋_GB2312"/>
          <w:color w:val="000000"/>
          <w:kern w:val="0"/>
          <w:szCs w:val="32"/>
          <w:lang w:val="en"/>
        </w:rPr>
        <w:t>出现重大责任事故、重大负面舆情</w:t>
      </w:r>
      <w:r>
        <w:rPr>
          <w:rFonts w:hint="eastAsia" w:eastAsia="仿宋_GB2312"/>
          <w:color w:val="000000"/>
          <w:kern w:val="0"/>
          <w:szCs w:val="32"/>
          <w:lang w:val="en"/>
        </w:rPr>
        <w:t>或</w:t>
      </w:r>
      <w:r>
        <w:rPr>
          <w:rFonts w:eastAsia="仿宋_GB2312"/>
          <w:color w:val="000000"/>
          <w:kern w:val="0"/>
          <w:szCs w:val="32"/>
          <w:lang w:val="en"/>
        </w:rPr>
        <w:t>重大违规办学</w:t>
      </w:r>
      <w:r>
        <w:rPr>
          <w:rFonts w:hint="eastAsia" w:eastAsia="仿宋_GB2312"/>
          <w:color w:val="000000"/>
          <w:kern w:val="0"/>
          <w:szCs w:val="32"/>
          <w:lang w:val="en"/>
        </w:rPr>
        <w:t>行为</w:t>
      </w:r>
      <w:r>
        <w:rPr>
          <w:rFonts w:hint="eastAsia" w:eastAsia="仿宋_GB2312"/>
          <w:color w:val="000000"/>
          <w:kern w:val="0"/>
          <w:szCs w:val="32"/>
        </w:rPr>
        <w:t>，</w:t>
      </w:r>
      <w:r>
        <w:rPr>
          <w:rFonts w:eastAsia="仿宋_GB2312"/>
          <w:color w:val="000000"/>
          <w:kern w:val="0"/>
          <w:szCs w:val="32"/>
        </w:rPr>
        <w:t>办学条件不达标</w:t>
      </w:r>
      <w:r>
        <w:rPr>
          <w:rFonts w:hint="eastAsia" w:eastAsia="仿宋_GB2312"/>
          <w:color w:val="000000"/>
          <w:kern w:val="0"/>
          <w:szCs w:val="32"/>
        </w:rPr>
        <w:t>，学生公共基础课普测、专业技能抽查和</w:t>
      </w:r>
      <w:r>
        <w:rPr>
          <w:rFonts w:eastAsia="仿宋_GB2312"/>
          <w:color w:val="000000"/>
          <w:kern w:val="0"/>
          <w:szCs w:val="32"/>
        </w:rPr>
        <w:t>专业办学水平评价或</w:t>
      </w:r>
      <w:r>
        <w:rPr>
          <w:rFonts w:hint="eastAsia" w:eastAsia="仿宋_GB2312"/>
          <w:color w:val="000000"/>
          <w:kern w:val="0"/>
          <w:szCs w:val="32"/>
        </w:rPr>
        <w:t>专业</w:t>
      </w:r>
      <w:r>
        <w:rPr>
          <w:rFonts w:eastAsia="仿宋_GB2312"/>
          <w:color w:val="000000"/>
          <w:kern w:val="0"/>
          <w:szCs w:val="32"/>
        </w:rPr>
        <w:t>分类评价结论为不合格的院校责令整改，整改期减少招生计划或暂停招生；整改后仍达不到要求的，取消五年制高职办学资格。</w:t>
      </w:r>
    </w:p>
    <w:p>
      <w:pPr>
        <w:pStyle w:val="3"/>
        <w:spacing w:before="0" w:beforeLines="0" w:after="0" w:afterLines="0" w:line="600" w:lineRule="exact"/>
        <w:rPr>
          <w:rFonts w:ascii="Times New Roman" w:hAnsi="Times New Roman"/>
          <w:color w:val="000000"/>
          <w:kern w:val="0"/>
        </w:rPr>
      </w:pPr>
      <w:r>
        <w:rPr>
          <w:rFonts w:ascii="Times New Roman" w:hAnsi="Times New Roman" w:eastAsia="黑体"/>
          <w:color w:val="000000"/>
          <w:kern w:val="0"/>
        </w:rPr>
        <w:t xml:space="preserve">第八章  </w:t>
      </w:r>
      <w:bookmarkStart w:id="0" w:name="_GoBack"/>
      <w:bookmarkEnd w:id="0"/>
      <w:r>
        <w:rPr>
          <w:rFonts w:ascii="Times New Roman" w:hAnsi="Times New Roman" w:eastAsia="黑体"/>
          <w:color w:val="000000"/>
          <w:kern w:val="0"/>
        </w:rPr>
        <w:t>附  则</w:t>
      </w:r>
    </w:p>
    <w:p>
      <w:pPr>
        <w:spacing w:line="600" w:lineRule="exact"/>
        <w:ind w:firstLine="624" w:firstLineChars="200"/>
        <w:rPr>
          <w:rFonts w:eastAsia="仿宋_GB2312"/>
          <w:color w:val="000000"/>
          <w:kern w:val="0"/>
          <w:szCs w:val="32"/>
        </w:rPr>
      </w:pPr>
      <w:r>
        <w:rPr>
          <w:rFonts w:eastAsia="黑体"/>
          <w:color w:val="000000"/>
          <w:kern w:val="0"/>
          <w:szCs w:val="32"/>
        </w:rPr>
        <w:t>第二十</w:t>
      </w:r>
      <w:r>
        <w:rPr>
          <w:rFonts w:hint="eastAsia" w:eastAsia="黑体"/>
          <w:color w:val="000000"/>
          <w:kern w:val="0"/>
          <w:szCs w:val="32"/>
        </w:rPr>
        <w:t>七</w:t>
      </w:r>
      <w:r>
        <w:rPr>
          <w:rFonts w:eastAsia="黑体"/>
          <w:color w:val="000000"/>
          <w:kern w:val="0"/>
          <w:szCs w:val="32"/>
        </w:rPr>
        <w:t>条</w:t>
      </w:r>
      <w:r>
        <w:rPr>
          <w:rFonts w:eastAsia="仿宋_GB2312"/>
          <w:color w:val="000000"/>
          <w:kern w:val="0"/>
          <w:szCs w:val="32"/>
        </w:rPr>
        <w:t xml:space="preserve">  五年制高职收费，前三年参照中职学校收费标准收取学费，后两年按照高职学院收费标准收取学费。</w:t>
      </w:r>
    </w:p>
    <w:p>
      <w:pPr>
        <w:spacing w:line="600" w:lineRule="exact"/>
        <w:ind w:firstLine="624" w:firstLineChars="200"/>
        <w:rPr>
          <w:rFonts w:eastAsia="仿宋_GB2312"/>
          <w:color w:val="000000"/>
          <w:kern w:val="0"/>
          <w:szCs w:val="32"/>
        </w:rPr>
      </w:pPr>
      <w:r>
        <w:rPr>
          <w:rFonts w:eastAsia="黑体"/>
          <w:color w:val="000000"/>
          <w:kern w:val="0"/>
          <w:szCs w:val="32"/>
        </w:rPr>
        <w:t>第</w:t>
      </w:r>
      <w:r>
        <w:rPr>
          <w:rFonts w:hint="eastAsia" w:eastAsia="黑体"/>
          <w:color w:val="000000"/>
          <w:kern w:val="0"/>
          <w:szCs w:val="32"/>
        </w:rPr>
        <w:t>二</w:t>
      </w:r>
      <w:r>
        <w:rPr>
          <w:rFonts w:eastAsia="黑体"/>
          <w:color w:val="000000"/>
          <w:kern w:val="0"/>
          <w:szCs w:val="32"/>
        </w:rPr>
        <w:t>十</w:t>
      </w:r>
      <w:r>
        <w:rPr>
          <w:rFonts w:hint="eastAsia" w:eastAsia="黑体"/>
          <w:color w:val="000000"/>
          <w:kern w:val="0"/>
          <w:szCs w:val="32"/>
        </w:rPr>
        <w:t>八</w:t>
      </w:r>
      <w:r>
        <w:rPr>
          <w:rFonts w:eastAsia="黑体"/>
          <w:color w:val="000000"/>
          <w:kern w:val="0"/>
          <w:szCs w:val="32"/>
        </w:rPr>
        <w:t>条</w:t>
      </w:r>
      <w:r>
        <w:rPr>
          <w:rFonts w:eastAsia="仿宋_GB2312"/>
          <w:color w:val="000000"/>
          <w:kern w:val="0"/>
          <w:szCs w:val="32"/>
        </w:rPr>
        <w:t xml:space="preserve">  我省初中起点五年制公费定向师范生培养管理遵照</w:t>
      </w:r>
      <w:r>
        <w:rPr>
          <w:rFonts w:hint="eastAsia" w:eastAsia="仿宋_GB2312"/>
          <w:color w:val="000000"/>
          <w:kern w:val="0"/>
          <w:szCs w:val="32"/>
        </w:rPr>
        <w:t>省级教育行政部门</w:t>
      </w:r>
      <w:r>
        <w:rPr>
          <w:rFonts w:eastAsia="仿宋_GB2312"/>
          <w:color w:val="000000"/>
          <w:kern w:val="0"/>
          <w:szCs w:val="32"/>
        </w:rPr>
        <w:t>相关文件执行。</w:t>
      </w:r>
      <w:r>
        <w:rPr>
          <w:rFonts w:hint="eastAsia" w:eastAsia="仿宋_GB2312"/>
          <w:color w:val="000000"/>
          <w:kern w:val="0"/>
          <w:szCs w:val="32"/>
        </w:rPr>
        <w:t>本办法出台前录取的五年制高职学生参照本办法执行。</w:t>
      </w:r>
    </w:p>
    <w:p>
      <w:pPr>
        <w:snapToGrid w:val="0"/>
        <w:spacing w:line="600" w:lineRule="exact"/>
        <w:ind w:firstLine="624" w:firstLineChars="200"/>
        <w:jc w:val="left"/>
        <w:rPr>
          <w:rFonts w:eastAsia="仿宋_GB2312"/>
          <w:color w:val="000000"/>
          <w:kern w:val="0"/>
          <w:szCs w:val="32"/>
        </w:rPr>
      </w:pPr>
      <w:r>
        <w:rPr>
          <w:rFonts w:eastAsia="黑体"/>
          <w:color w:val="000000"/>
          <w:kern w:val="0"/>
          <w:szCs w:val="32"/>
        </w:rPr>
        <w:t>第</w:t>
      </w:r>
      <w:r>
        <w:rPr>
          <w:rFonts w:hint="eastAsia" w:eastAsia="黑体"/>
          <w:color w:val="000000"/>
          <w:kern w:val="0"/>
          <w:szCs w:val="32"/>
        </w:rPr>
        <w:t>二</w:t>
      </w:r>
      <w:r>
        <w:rPr>
          <w:rFonts w:eastAsia="黑体"/>
          <w:color w:val="000000"/>
          <w:kern w:val="0"/>
          <w:szCs w:val="32"/>
        </w:rPr>
        <w:t>十</w:t>
      </w:r>
      <w:r>
        <w:rPr>
          <w:rFonts w:hint="eastAsia" w:eastAsia="黑体"/>
          <w:color w:val="000000"/>
          <w:kern w:val="0"/>
          <w:szCs w:val="32"/>
        </w:rPr>
        <w:t>九</w:t>
      </w:r>
      <w:r>
        <w:rPr>
          <w:rFonts w:eastAsia="黑体"/>
          <w:color w:val="000000"/>
          <w:kern w:val="0"/>
          <w:szCs w:val="32"/>
        </w:rPr>
        <w:t>条</w:t>
      </w:r>
      <w:r>
        <w:rPr>
          <w:rFonts w:eastAsia="仿宋_GB2312"/>
          <w:color w:val="000000"/>
          <w:kern w:val="0"/>
          <w:szCs w:val="32"/>
        </w:rPr>
        <w:t xml:space="preserve">  </w:t>
      </w:r>
      <w:r>
        <w:rPr>
          <w:rFonts w:hint="eastAsia" w:eastAsia="仿宋_GB2312"/>
          <w:color w:val="000000"/>
          <w:kern w:val="0"/>
          <w:szCs w:val="32"/>
        </w:rPr>
        <w:t>自公布之日起30日以后施行，有效期5年。</w:t>
      </w:r>
    </w:p>
    <w:p>
      <w:pPr>
        <w:snapToGrid w:val="0"/>
        <w:spacing w:line="600" w:lineRule="exact"/>
        <w:jc w:val="left"/>
        <w:rPr>
          <w:rFonts w:eastAsia="仿宋_GB2312"/>
          <w:color w:val="000000"/>
          <w:kern w:val="0"/>
          <w:szCs w:val="32"/>
        </w:rPr>
      </w:pPr>
    </w:p>
    <w:p>
      <w:pPr>
        <w:snapToGrid w:val="0"/>
        <w:spacing w:line="600" w:lineRule="exact"/>
        <w:jc w:val="left"/>
        <w:rPr>
          <w:rFonts w:eastAsia="仿宋_GB2312"/>
          <w:color w:val="000000"/>
          <w:kern w:val="0"/>
          <w:szCs w:val="32"/>
        </w:rPr>
      </w:pPr>
    </w:p>
    <w:p>
      <w:pPr>
        <w:snapToGrid w:val="0"/>
        <w:spacing w:line="600" w:lineRule="exact"/>
        <w:jc w:val="left"/>
        <w:rPr>
          <w:rFonts w:eastAsia="仿宋_GB2312"/>
          <w:color w:val="000000"/>
          <w:kern w:val="0"/>
          <w:szCs w:val="32"/>
        </w:rPr>
      </w:pPr>
    </w:p>
    <w:p>
      <w:pPr>
        <w:snapToGrid w:val="0"/>
        <w:spacing w:line="600" w:lineRule="exact"/>
        <w:jc w:val="left"/>
        <w:rPr>
          <w:rFonts w:eastAsia="仿宋_GB2312"/>
          <w:color w:val="000000"/>
          <w:kern w:val="0"/>
          <w:szCs w:val="32"/>
        </w:rPr>
      </w:pPr>
    </w:p>
    <w:p>
      <w:pPr>
        <w:snapToGrid w:val="0"/>
        <w:spacing w:line="600" w:lineRule="exact"/>
        <w:jc w:val="left"/>
        <w:rPr>
          <w:rFonts w:eastAsia="仿宋_GB2312"/>
          <w:color w:val="000000"/>
          <w:kern w:val="0"/>
          <w:szCs w:val="32"/>
        </w:rPr>
      </w:pPr>
    </w:p>
    <w:p>
      <w:pPr>
        <w:snapToGrid w:val="0"/>
        <w:spacing w:line="600" w:lineRule="exact"/>
        <w:jc w:val="left"/>
        <w:rPr>
          <w:rFonts w:eastAsia="仿宋_GB2312"/>
          <w:color w:val="000000"/>
          <w:kern w:val="0"/>
          <w:szCs w:val="32"/>
        </w:rPr>
      </w:pPr>
    </w:p>
    <w:p>
      <w:pPr>
        <w:snapToGrid w:val="0"/>
        <w:spacing w:line="600" w:lineRule="exact"/>
        <w:jc w:val="left"/>
        <w:rPr>
          <w:rFonts w:eastAsia="仿宋_GB2312"/>
          <w:color w:val="000000"/>
          <w:kern w:val="0"/>
          <w:szCs w:val="32"/>
        </w:rPr>
      </w:pPr>
    </w:p>
    <w:p>
      <w:pPr>
        <w:snapToGrid w:val="0"/>
        <w:spacing w:line="600" w:lineRule="exact"/>
        <w:jc w:val="left"/>
        <w:rPr>
          <w:rFonts w:eastAsia="仿宋_GB2312"/>
          <w:color w:val="000000"/>
          <w:kern w:val="0"/>
          <w:szCs w:val="32"/>
        </w:rPr>
      </w:pPr>
    </w:p>
    <w:p>
      <w:pPr>
        <w:snapToGrid w:val="0"/>
        <w:spacing w:line="600" w:lineRule="exact"/>
        <w:jc w:val="left"/>
        <w:rPr>
          <w:rFonts w:eastAsia="仿宋_GB2312"/>
          <w:color w:val="000000"/>
          <w:kern w:val="0"/>
          <w:szCs w:val="32"/>
        </w:rPr>
      </w:pPr>
    </w:p>
    <w:p>
      <w:pPr>
        <w:snapToGrid w:val="0"/>
        <w:spacing w:line="600" w:lineRule="exact"/>
        <w:jc w:val="left"/>
        <w:rPr>
          <w:rFonts w:eastAsia="仿宋_GB2312"/>
          <w:color w:val="000000"/>
          <w:kern w:val="0"/>
          <w:szCs w:val="32"/>
        </w:rPr>
      </w:pPr>
    </w:p>
    <w:p>
      <w:pPr>
        <w:snapToGrid w:val="0"/>
        <w:spacing w:line="600" w:lineRule="exact"/>
        <w:jc w:val="left"/>
        <w:rPr>
          <w:rFonts w:eastAsia="仿宋_GB2312"/>
          <w:color w:val="000000"/>
          <w:kern w:val="0"/>
          <w:szCs w:val="32"/>
        </w:rPr>
      </w:pPr>
    </w:p>
    <w:p>
      <w:pPr>
        <w:rPr>
          <w:color w:val="000000"/>
          <w:kern w:val="0"/>
        </w:rPr>
      </w:pPr>
    </w:p>
    <w:tbl>
      <w:tblPr>
        <w:tblStyle w:val="11"/>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tcPr>
          <w:p>
            <w:pPr>
              <w:spacing w:line="500" w:lineRule="exact"/>
              <w:jc w:val="center"/>
              <w:rPr>
                <w:rFonts w:eastAsia="仿宋_GB2312"/>
                <w:color w:val="000000"/>
                <w:kern w:val="0"/>
                <w:sz w:val="28"/>
                <w:szCs w:val="28"/>
              </w:rPr>
            </w:pPr>
            <w:r>
              <w:rPr>
                <w:rFonts w:hint="eastAsia" w:eastAsia="仿宋_GB2312"/>
                <w:color w:val="000000"/>
                <w:kern w:val="0"/>
                <w:sz w:val="28"/>
                <w:szCs w:val="28"/>
              </w:rPr>
              <w:t>湖南省教育厅办公室　　　　　　　　　　　　　</w:t>
            </w:r>
            <w:r>
              <w:rPr>
                <w:rFonts w:eastAsia="仿宋_GB2312"/>
                <w:color w:val="000000"/>
                <w:kern w:val="0"/>
                <w:sz w:val="28"/>
                <w:szCs w:val="28"/>
              </w:rPr>
              <w:t>2022</w:t>
            </w:r>
            <w:r>
              <w:rPr>
                <w:rFonts w:hint="eastAsia" w:eastAsia="仿宋_GB2312"/>
                <w:color w:val="000000"/>
                <w:kern w:val="0"/>
                <w:sz w:val="28"/>
                <w:szCs w:val="28"/>
              </w:rPr>
              <w:t>年1月20日印发</w:t>
            </w:r>
          </w:p>
        </w:tc>
      </w:tr>
    </w:tbl>
    <w:p>
      <w:pPr>
        <w:snapToGrid w:val="0"/>
        <w:jc w:val="left"/>
        <w:rPr>
          <w:rFonts w:ascii="楷体" w:hAnsi="楷体" w:eastAsia="楷体"/>
          <w:sz w:val="2"/>
          <w:szCs w:val="28"/>
        </w:rPr>
      </w:pPr>
    </w:p>
    <w:sectPr>
      <w:footerReference r:id="rId6" w:type="first"/>
      <w:headerReference r:id="rId3" w:type="default"/>
      <w:footerReference r:id="rId4" w:type="default"/>
      <w:footerReference r:id="rId5" w:type="even"/>
      <w:pgSz w:w="11906" w:h="16838"/>
      <w:pgMar w:top="1701" w:right="1418" w:bottom="1418" w:left="1418" w:header="851" w:footer="992" w:gutter="0"/>
      <w:pgNumType w:start="1"/>
      <w:cols w:space="720" w:num="1"/>
      <w:docGrid w:type="linesAndChars" w:linePitch="55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汉仪中黑简">
    <w:altName w:val="方正黑体_GBK"/>
    <w:panose1 w:val="00000000000000000000"/>
    <w:charset w:val="86"/>
    <w:family w:val="modern"/>
    <w:pitch w:val="default"/>
    <w:sig w:usb0="00000000" w:usb1="00000000" w:usb2="00000002"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56"/>
  <w:drawingGridVerticalSpacing w:val="559"/>
  <w:displayHorizontalDrawingGridEvery w:val="2"/>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17C"/>
    <w:rsid w:val="000A2C6A"/>
    <w:rsid w:val="000A4709"/>
    <w:rsid w:val="000D5CB6"/>
    <w:rsid w:val="000E2143"/>
    <w:rsid w:val="00101B97"/>
    <w:rsid w:val="00116DED"/>
    <w:rsid w:val="00122FA4"/>
    <w:rsid w:val="001651BE"/>
    <w:rsid w:val="00171763"/>
    <w:rsid w:val="00172A27"/>
    <w:rsid w:val="0018540C"/>
    <w:rsid w:val="00190453"/>
    <w:rsid w:val="00196524"/>
    <w:rsid w:val="001A0EF0"/>
    <w:rsid w:val="001B58E3"/>
    <w:rsid w:val="001D29FA"/>
    <w:rsid w:val="002023DD"/>
    <w:rsid w:val="002134D8"/>
    <w:rsid w:val="00247E0F"/>
    <w:rsid w:val="00251841"/>
    <w:rsid w:val="00251EF3"/>
    <w:rsid w:val="0028413D"/>
    <w:rsid w:val="002A7184"/>
    <w:rsid w:val="002B2460"/>
    <w:rsid w:val="002C5BFD"/>
    <w:rsid w:val="002C748D"/>
    <w:rsid w:val="002F64EC"/>
    <w:rsid w:val="0034158E"/>
    <w:rsid w:val="00363809"/>
    <w:rsid w:val="00380B23"/>
    <w:rsid w:val="003849F9"/>
    <w:rsid w:val="003915FE"/>
    <w:rsid w:val="003E56C7"/>
    <w:rsid w:val="004217AF"/>
    <w:rsid w:val="00424A19"/>
    <w:rsid w:val="00442B70"/>
    <w:rsid w:val="00494F64"/>
    <w:rsid w:val="00496F32"/>
    <w:rsid w:val="004A0915"/>
    <w:rsid w:val="004E6C55"/>
    <w:rsid w:val="004F1026"/>
    <w:rsid w:val="004F44DE"/>
    <w:rsid w:val="00507C13"/>
    <w:rsid w:val="0053364F"/>
    <w:rsid w:val="00542363"/>
    <w:rsid w:val="0054439E"/>
    <w:rsid w:val="005F2E04"/>
    <w:rsid w:val="005F6ECD"/>
    <w:rsid w:val="00607D3C"/>
    <w:rsid w:val="00607E7E"/>
    <w:rsid w:val="00607EC1"/>
    <w:rsid w:val="00631763"/>
    <w:rsid w:val="00637F1E"/>
    <w:rsid w:val="0066091C"/>
    <w:rsid w:val="00686C48"/>
    <w:rsid w:val="006939B5"/>
    <w:rsid w:val="006958FD"/>
    <w:rsid w:val="006B6261"/>
    <w:rsid w:val="007233A8"/>
    <w:rsid w:val="007813DC"/>
    <w:rsid w:val="007960DE"/>
    <w:rsid w:val="007C3831"/>
    <w:rsid w:val="0080444D"/>
    <w:rsid w:val="0080741A"/>
    <w:rsid w:val="00810130"/>
    <w:rsid w:val="00813ADE"/>
    <w:rsid w:val="00833E6A"/>
    <w:rsid w:val="00837A4A"/>
    <w:rsid w:val="00837F89"/>
    <w:rsid w:val="00853EF2"/>
    <w:rsid w:val="008571E4"/>
    <w:rsid w:val="00861207"/>
    <w:rsid w:val="00883B91"/>
    <w:rsid w:val="008E2CBB"/>
    <w:rsid w:val="009168D8"/>
    <w:rsid w:val="00934492"/>
    <w:rsid w:val="00934AE3"/>
    <w:rsid w:val="009532DC"/>
    <w:rsid w:val="00991127"/>
    <w:rsid w:val="00991B9B"/>
    <w:rsid w:val="009E3C9C"/>
    <w:rsid w:val="009F4048"/>
    <w:rsid w:val="00A409E6"/>
    <w:rsid w:val="00A65223"/>
    <w:rsid w:val="00A81F69"/>
    <w:rsid w:val="00AA775A"/>
    <w:rsid w:val="00AB7594"/>
    <w:rsid w:val="00AF6E73"/>
    <w:rsid w:val="00B04EBC"/>
    <w:rsid w:val="00B062CD"/>
    <w:rsid w:val="00B411A0"/>
    <w:rsid w:val="00BA1297"/>
    <w:rsid w:val="00BA3E3B"/>
    <w:rsid w:val="00BA5E54"/>
    <w:rsid w:val="00BF17A1"/>
    <w:rsid w:val="00C22548"/>
    <w:rsid w:val="00C279E1"/>
    <w:rsid w:val="00C33E1E"/>
    <w:rsid w:val="00C37310"/>
    <w:rsid w:val="00C57FBE"/>
    <w:rsid w:val="00C63F42"/>
    <w:rsid w:val="00C64314"/>
    <w:rsid w:val="00C71A0A"/>
    <w:rsid w:val="00C8132E"/>
    <w:rsid w:val="00CA3B57"/>
    <w:rsid w:val="00CB34CD"/>
    <w:rsid w:val="00CE17E3"/>
    <w:rsid w:val="00D107CA"/>
    <w:rsid w:val="00D139DD"/>
    <w:rsid w:val="00D20BC0"/>
    <w:rsid w:val="00D310F3"/>
    <w:rsid w:val="00D50C08"/>
    <w:rsid w:val="00D536DD"/>
    <w:rsid w:val="00DB781B"/>
    <w:rsid w:val="00DD35A3"/>
    <w:rsid w:val="00DF1FBF"/>
    <w:rsid w:val="00E300A0"/>
    <w:rsid w:val="00E452E1"/>
    <w:rsid w:val="00E569C2"/>
    <w:rsid w:val="00E94E08"/>
    <w:rsid w:val="00EB3C84"/>
    <w:rsid w:val="00EB6149"/>
    <w:rsid w:val="00F035B4"/>
    <w:rsid w:val="00F07946"/>
    <w:rsid w:val="00F113CE"/>
    <w:rsid w:val="00F25F3C"/>
    <w:rsid w:val="00F47C52"/>
    <w:rsid w:val="00F52110"/>
    <w:rsid w:val="00F61DB3"/>
    <w:rsid w:val="00FB5B3D"/>
    <w:rsid w:val="00FC7213"/>
    <w:rsid w:val="012A4C86"/>
    <w:rsid w:val="03464877"/>
    <w:rsid w:val="050F6006"/>
    <w:rsid w:val="054521DD"/>
    <w:rsid w:val="09DE12BD"/>
    <w:rsid w:val="0E133148"/>
    <w:rsid w:val="14A45ED5"/>
    <w:rsid w:val="15E70E79"/>
    <w:rsid w:val="19FB16F2"/>
    <w:rsid w:val="1A5B46E7"/>
    <w:rsid w:val="1BC22DC1"/>
    <w:rsid w:val="1CEC5975"/>
    <w:rsid w:val="1D2A51BD"/>
    <w:rsid w:val="1E5479D4"/>
    <w:rsid w:val="1EE631FE"/>
    <w:rsid w:val="20201EC2"/>
    <w:rsid w:val="23BE00CC"/>
    <w:rsid w:val="24533EA6"/>
    <w:rsid w:val="254A539C"/>
    <w:rsid w:val="25586684"/>
    <w:rsid w:val="28EF6DD0"/>
    <w:rsid w:val="291327A8"/>
    <w:rsid w:val="29D56AB0"/>
    <w:rsid w:val="2B0A23CB"/>
    <w:rsid w:val="2C7C2A5D"/>
    <w:rsid w:val="2E1E4E36"/>
    <w:rsid w:val="2ED139E0"/>
    <w:rsid w:val="31C006BE"/>
    <w:rsid w:val="34100013"/>
    <w:rsid w:val="377F3AEE"/>
    <w:rsid w:val="38A34BCD"/>
    <w:rsid w:val="3F8FA897"/>
    <w:rsid w:val="40BA2742"/>
    <w:rsid w:val="41AC305E"/>
    <w:rsid w:val="41AF1914"/>
    <w:rsid w:val="42450E48"/>
    <w:rsid w:val="426339F7"/>
    <w:rsid w:val="44C63239"/>
    <w:rsid w:val="44DE5729"/>
    <w:rsid w:val="4764152B"/>
    <w:rsid w:val="48BA3162"/>
    <w:rsid w:val="49456122"/>
    <w:rsid w:val="4D87623F"/>
    <w:rsid w:val="4F944DC4"/>
    <w:rsid w:val="5012355C"/>
    <w:rsid w:val="512B18B7"/>
    <w:rsid w:val="54A1597F"/>
    <w:rsid w:val="56B816B7"/>
    <w:rsid w:val="5CEE45FE"/>
    <w:rsid w:val="5D4F1896"/>
    <w:rsid w:val="5EB522EE"/>
    <w:rsid w:val="62B977B9"/>
    <w:rsid w:val="637E512E"/>
    <w:rsid w:val="64A5552C"/>
    <w:rsid w:val="67141E2D"/>
    <w:rsid w:val="68B51559"/>
    <w:rsid w:val="69DB5AB9"/>
    <w:rsid w:val="6CAC2292"/>
    <w:rsid w:val="6D45644C"/>
    <w:rsid w:val="706E0500"/>
    <w:rsid w:val="72B97268"/>
    <w:rsid w:val="72D466F0"/>
    <w:rsid w:val="731578EA"/>
    <w:rsid w:val="759A117B"/>
    <w:rsid w:val="78211360"/>
    <w:rsid w:val="78445E62"/>
    <w:rsid w:val="7FDEBD3E"/>
    <w:rsid w:val="BDFDB552"/>
    <w:rsid w:val="F7FB7D3D"/>
    <w:rsid w:val="FEFFF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0"/>
    <w:pPr>
      <w:keepNext/>
      <w:keepLines/>
      <w:spacing w:before="100" w:beforeLines="100" w:after="100" w:afterLines="100" w:line="640" w:lineRule="exact"/>
      <w:jc w:val="center"/>
      <w:outlineLvl w:val="0"/>
    </w:pPr>
    <w:rPr>
      <w:rFonts w:eastAsia="方正小标宋_GBK"/>
      <w:bCs/>
      <w:kern w:val="44"/>
      <w:szCs w:val="44"/>
    </w:rPr>
  </w:style>
  <w:style w:type="paragraph" w:styleId="3">
    <w:name w:val="heading 2"/>
    <w:basedOn w:val="1"/>
    <w:next w:val="1"/>
    <w:qFormat/>
    <w:uiPriority w:val="0"/>
    <w:pPr>
      <w:keepNext/>
      <w:keepLines/>
      <w:spacing w:before="50" w:beforeLines="50" w:after="50" w:afterLines="50" w:line="580" w:lineRule="exact"/>
      <w:jc w:val="center"/>
      <w:outlineLvl w:val="1"/>
    </w:pPr>
    <w:rPr>
      <w:rFonts w:ascii="Arial" w:hAnsi="Arial" w:eastAsia="汉仪中黑简"/>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Plain Text"/>
    <w:basedOn w:val="1"/>
    <w:qFormat/>
    <w:uiPriority w:val="0"/>
    <w:rPr>
      <w:rFonts w:ascii="宋体" w:hAnsi="Courier New" w:cs="Courier New"/>
      <w:szCs w:val="21"/>
    </w:rPr>
  </w:style>
  <w:style w:type="paragraph" w:styleId="6">
    <w:name w:val="Date"/>
    <w:basedOn w:val="1"/>
    <w:next w:val="1"/>
    <w:link w:val="14"/>
    <w:qFormat/>
    <w:uiPriority w:val="0"/>
    <w:pPr>
      <w:ind w:left="100" w:leftChars="2500"/>
    </w:pPr>
  </w:style>
  <w:style w:type="paragraph" w:styleId="7">
    <w:name w:val="Balloon Text"/>
    <w:basedOn w:val="1"/>
    <w:link w:val="15"/>
    <w:qFormat/>
    <w:uiPriority w:val="0"/>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日期 Char"/>
    <w:link w:val="6"/>
    <w:qFormat/>
    <w:uiPriority w:val="0"/>
    <w:rPr>
      <w:kern w:val="2"/>
      <w:sz w:val="21"/>
      <w:szCs w:val="24"/>
    </w:rPr>
  </w:style>
  <w:style w:type="character" w:customStyle="1" w:styleId="15">
    <w:name w:val="批注框文本 Char"/>
    <w:link w:val="7"/>
    <w:qFormat/>
    <w:uiPriority w:val="0"/>
    <w:rPr>
      <w:kern w:val="2"/>
      <w:sz w:val="18"/>
      <w:szCs w:val="18"/>
    </w:rPr>
  </w:style>
  <w:style w:type="character" w:customStyle="1" w:styleId="16">
    <w:name w:val="页脚 Char"/>
    <w:link w:val="8"/>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4085</Words>
  <Characters>223</Characters>
  <Lines>1</Lines>
  <Paragraphs>8</Paragraphs>
  <TotalTime>7</TotalTime>
  <ScaleCrop>false</ScaleCrop>
  <LinksUpToDate>false</LinksUpToDate>
  <CharactersWithSpaces>4300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2022-01-24T09:12:00Z</dcterms:created>
  <dc:creator>Administrator</dc:creator>
  <cp:lastModifiedBy>greatwall</cp:lastModifiedBy>
  <cp:lastPrinted>2022-01-24T09:14:00Z</cp:lastPrinted>
  <dcterms:modified xsi:type="dcterms:W3CDTF">2022-01-26T09:24:11Z</dcterms:modified>
  <dc:title>关于“2013年湖南省全民终身学习活动周”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CA3A92BB83CE44E8AA53F0D2A3DBA51A</vt:lpwstr>
  </property>
</Properties>
</file>