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N w:val="0"/>
        <w:spacing w:line="400" w:lineRule="atLeast"/>
        <w:jc w:val="distribute"/>
        <w:rPr>
          <w:rFonts w:hint="eastAsia" w:ascii="宋体" w:hAnsi="宋体" w:cs="宋体"/>
          <w:b/>
          <w:bCs/>
          <w:w w:val="60"/>
          <w:sz w:val="84"/>
          <w:szCs w:val="84"/>
        </w:rPr>
      </w:pPr>
      <w:r>
        <w:rPr>
          <w:rFonts w:hint="eastAsia" w:ascii="宋体" w:hAnsi="宋体" w:cs="宋体"/>
          <w:b/>
          <w:bCs/>
          <w:color w:val="FF0000"/>
          <w:w w:val="60"/>
          <w:sz w:val="84"/>
          <w:szCs w:val="84"/>
        </w:rPr>
        <w:t>湖南省教育科学规划领导小组办公室</w:t>
      </w:r>
    </w:p>
    <w:p>
      <w:pPr>
        <w:spacing w:line="0" w:lineRule="atLeast"/>
        <w:jc w:val="center"/>
        <w:rPr>
          <w:rStyle w:val="9"/>
          <w:rFonts w:ascii="黑体" w:hAnsi="黑体" w:eastAsia="黑体"/>
          <w:sz w:val="36"/>
          <w:szCs w:val="36"/>
        </w:rPr>
      </w:pPr>
      <w:r>
        <w:rPr>
          <w:rFonts w:hint="eastAsia" w:eastAsia="华文中宋"/>
          <w:color w:val="000000"/>
          <w:sz w:val="32"/>
          <w:szCs w:val="20"/>
          <w:lang/>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99060</wp:posOffset>
                </wp:positionV>
                <wp:extent cx="5747385" cy="0"/>
                <wp:effectExtent l="0" t="0" r="0" b="0"/>
                <wp:wrapNone/>
                <wp:docPr id="2" name="直线 3"/>
                <wp:cNvGraphicFramePr/>
                <a:graphic xmlns:a="http://schemas.openxmlformats.org/drawingml/2006/main">
                  <a:graphicData uri="http://schemas.microsoft.com/office/word/2010/wordprocessingShape">
                    <wps:wsp>
                      <wps:cNvSpPr/>
                      <wps:spPr>
                        <a:xfrm>
                          <a:off x="0" y="0"/>
                          <a:ext cx="5747385"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8pt;margin-top:7.8pt;height:0pt;width:452.55pt;z-index:251659264;mso-width-relative:page;mso-height-relative:page;" filled="f" stroked="t" coordsize="21600,21600" o:gfxdata="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KGWlTXAAAACQEAAA8AAAAAAAAAAQAgAAAAIgAA&#10;AGRycy9kb3ducmV2LnhtbFBLAQIUABQAAAAIAIdO4kAgOnTf0AEAAI0DAAAOAAAAAAAAAAEAIAAA&#10;ACYBAABkcnMvZTJvRG9jLnhtbFBLBQYAAAAABgAGAFkBAABoBQAAAAA=&#10;">
                <v:fill on="f" focussize="0,0"/>
                <v:stroke color="#FF0000" joinstyle="round"/>
                <v:imagedata o:title=""/>
                <o:lock v:ext="edit" aspectratio="f"/>
              </v:line>
            </w:pict>
          </mc:Fallback>
        </mc:AlternateContent>
      </w:r>
      <w:r>
        <w:rPr>
          <w:rFonts w:hint="eastAsia" w:eastAsia="华文中宋"/>
          <w:color w:val="000000"/>
          <w:sz w:val="32"/>
          <w:szCs w:val="20"/>
          <w:lang/>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0</wp:posOffset>
                </wp:positionV>
                <wp:extent cx="5747385" cy="0"/>
                <wp:effectExtent l="0" t="23495" r="5715" b="33655"/>
                <wp:wrapNone/>
                <wp:docPr id="1" name="直线 2"/>
                <wp:cNvGraphicFramePr/>
                <a:graphic xmlns:a="http://schemas.openxmlformats.org/drawingml/2006/main">
                  <a:graphicData uri="http://schemas.microsoft.com/office/word/2010/wordprocessingShape">
                    <wps:wsp>
                      <wps:cNvSpPr/>
                      <wps:spPr>
                        <a:xfrm>
                          <a:off x="0" y="0"/>
                          <a:ext cx="5747385" cy="0"/>
                        </a:xfrm>
                        <a:prstGeom prst="line">
                          <a:avLst/>
                        </a:prstGeom>
                        <a:ln w="476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8pt;margin-top:0pt;height:0pt;width:452.55pt;z-index:251658240;mso-width-relative:page;mso-height-relative:page;" filled="f" stroked="t" coordsize="21600,21600" o:gfxdata="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e10tYAAAAFAQAADwAAAAAAAAABACAAAAAiAAAA&#10;ZHJzL2Rvd25yZXYueG1sUEsBAhQAFAAAAAgAh07iQMqojM/QAQAAjgMAAA4AAAAAAAAAAQAgAAAA&#10;JQEAAGRycy9lMm9Eb2MueG1sUEsFBgAAAAAGAAYAWQEAAGcFAAAAAA==&#10;">
                <v:fill on="f" focussize="0,0"/>
                <v:stroke weight="3.75pt" color="#FF0000" joinstyle="round"/>
                <v:imagedata o:title=""/>
                <o:lock v:ext="edit" aspectratio="f"/>
              </v:line>
            </w:pict>
          </mc:Fallback>
        </mc:AlternateContent>
      </w:r>
    </w:p>
    <w:p>
      <w:pPr>
        <w:pStyle w:val="5"/>
        <w:shd w:val="clear" w:color="auto" w:fill="FFFFFF"/>
        <w:spacing w:before="0" w:beforeAutospacing="0" w:after="0" w:afterAutospacing="0" w:line="360" w:lineRule="auto"/>
        <w:jc w:val="center"/>
        <w:rPr>
          <w:rFonts w:ascii="仿宋" w:hAnsi="仿宋" w:eastAsia="仿宋"/>
          <w:sz w:val="18"/>
          <w:szCs w:val="18"/>
        </w:rPr>
      </w:pPr>
      <w:r>
        <w:rPr>
          <w:rStyle w:val="9"/>
          <w:rFonts w:hint="eastAsia" w:ascii="黑体" w:hAnsi="黑体" w:eastAsia="黑体"/>
          <w:sz w:val="36"/>
          <w:szCs w:val="36"/>
        </w:rPr>
        <w:t>关于征集湖南省教育科学“十三五”规划2019年度重大、重点课题选题的通知</w:t>
      </w:r>
    </w:p>
    <w:p>
      <w:pPr>
        <w:pStyle w:val="5"/>
        <w:shd w:val="clear" w:color="auto" w:fill="FFFFFF"/>
        <w:spacing w:before="0" w:beforeAutospacing="0" w:after="0" w:afterAutospacing="0" w:line="360" w:lineRule="auto"/>
        <w:ind w:firstLine="540" w:firstLineChars="200"/>
        <w:rPr>
          <w:rFonts w:ascii="仿宋_GB2312" w:hAnsi="仿宋" w:eastAsia="仿宋_GB2312"/>
          <w:sz w:val="27"/>
          <w:szCs w:val="27"/>
          <w:shd w:val="clear" w:color="auto" w:fill="FFFFFF"/>
        </w:rPr>
      </w:pPr>
    </w:p>
    <w:p>
      <w:pPr>
        <w:pStyle w:val="5"/>
        <w:shd w:val="clear" w:color="auto" w:fill="FFFFFF"/>
        <w:spacing w:before="0" w:beforeAutospacing="0" w:after="0" w:afterAutospacing="0" w:line="360" w:lineRule="auto"/>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为深入贯彻落实党的十九大及全国教育大会精神，进一步做好湖南省教育科学“十三五”规划2019年度重大、重点课题指南编制工作，现向社会征集课题选题。</w:t>
      </w:r>
    </w:p>
    <w:p>
      <w:pPr>
        <w:pStyle w:val="5"/>
        <w:shd w:val="clear" w:color="auto" w:fill="FFFFFF"/>
        <w:spacing w:before="0" w:beforeAutospacing="0" w:after="0" w:afterAutospacing="0" w:line="360" w:lineRule="auto"/>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1．重大、重点项目选题的拟定要坚持正确的政治方向，立足我省需要，围绕全面推进依法治教，针对全面深化教育综合改革中的重大问题，结合学术研究前沿，提出具有全局性、战略性、前瞻性的选题。</w:t>
      </w:r>
    </w:p>
    <w:p>
      <w:pPr>
        <w:pStyle w:val="5"/>
        <w:shd w:val="clear" w:color="auto" w:fill="FFFFFF"/>
        <w:spacing w:before="0" w:beforeAutospacing="0" w:after="0" w:afterAutospacing="0" w:line="360" w:lineRule="auto"/>
        <w:ind w:firstLine="640" w:firstLineChars="200"/>
        <w:rPr>
          <w:rFonts w:ascii="仿宋" w:hAnsi="仿宋" w:eastAsia="仿宋" w:cs="Calibri"/>
          <w:sz w:val="32"/>
          <w:szCs w:val="32"/>
          <w:shd w:val="clear" w:color="auto" w:fill="FFFFFF"/>
        </w:rPr>
      </w:pPr>
      <w:r>
        <w:rPr>
          <w:rFonts w:hint="eastAsia" w:ascii="仿宋" w:hAnsi="仿宋" w:eastAsia="仿宋"/>
          <w:sz w:val="32"/>
          <w:szCs w:val="32"/>
          <w:shd w:val="clear" w:color="auto" w:fill="FFFFFF"/>
        </w:rPr>
        <w:t>2.所有选题都应具有明确的研究目标、主攻方向和研究范围，突出研究重点，重视学科交叉与协同创新。选题文字表述要科学、严谨</w:t>
      </w:r>
      <w:bookmarkStart w:id="0" w:name="_GoBack"/>
      <w:bookmarkEnd w:id="0"/>
      <w:r>
        <w:rPr>
          <w:rFonts w:hint="eastAsia" w:ascii="仿宋" w:hAnsi="仿宋" w:eastAsia="仿宋"/>
          <w:sz w:val="32"/>
          <w:szCs w:val="32"/>
          <w:shd w:val="clear" w:color="auto" w:fill="FFFFFF"/>
        </w:rPr>
        <w:t>、规范，一般不加副标题。</w:t>
      </w:r>
      <w:r>
        <w:rPr>
          <w:rFonts w:hint="eastAsia" w:ascii="仿宋" w:hAnsi="仿宋" w:eastAsia="仿宋"/>
          <w:sz w:val="32"/>
          <w:szCs w:val="32"/>
          <w:shd w:val="clear" w:color="auto" w:fill="FFFFFF"/>
        </w:rPr>
        <w:br w:type="textWrapping"/>
      </w:r>
      <w:r>
        <w:rPr>
          <w:rFonts w:ascii="Calibri" w:hAnsi="Calibri" w:eastAsia="仿宋" w:cs="Calibri"/>
          <w:sz w:val="32"/>
          <w:szCs w:val="32"/>
          <w:shd w:val="clear" w:color="auto" w:fill="FFFFFF"/>
        </w:rPr>
        <w:t>  </w:t>
      </w:r>
      <w:r>
        <w:rPr>
          <w:rFonts w:ascii="仿宋" w:hAnsi="仿宋" w:eastAsia="仿宋" w:cs="Calibri"/>
          <w:sz w:val="32"/>
          <w:szCs w:val="32"/>
          <w:shd w:val="clear" w:color="auto" w:fill="FFFFFF"/>
        </w:rPr>
        <w:t xml:space="preserve">  </w:t>
      </w:r>
      <w:r>
        <w:rPr>
          <w:rFonts w:hint="eastAsia" w:ascii="仿宋" w:hAnsi="仿宋" w:eastAsia="仿宋"/>
          <w:sz w:val="32"/>
          <w:szCs w:val="32"/>
          <w:shd w:val="clear" w:color="auto" w:fill="FFFFFF"/>
        </w:rPr>
        <w:t xml:space="preserve"> 3．拟定的选题分设决策咨询、理论创新、实践探索等三类。为避免重复立项，凡近年已获湖南省教育科学规划重大招标、重大委托、重点资助课题的选题（见附件），不再推荐。</w:t>
      </w:r>
      <w:r>
        <w:rPr>
          <w:rFonts w:ascii="Calibri" w:hAnsi="Calibri" w:eastAsia="仿宋" w:cs="Calibri"/>
          <w:sz w:val="32"/>
          <w:szCs w:val="32"/>
          <w:shd w:val="clear" w:color="auto" w:fill="FFFFFF"/>
        </w:rPr>
        <w:t> </w:t>
      </w:r>
    </w:p>
    <w:p>
      <w:pPr>
        <w:pStyle w:val="5"/>
        <w:shd w:val="clear" w:color="auto" w:fill="FFFFFF"/>
        <w:spacing w:before="0" w:beforeAutospacing="0" w:after="0" w:afterAutospacing="0" w:line="360" w:lineRule="auto"/>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4．推荐选题报送时间截止到201</w:t>
      </w:r>
      <w:r>
        <w:rPr>
          <w:rFonts w:ascii="仿宋" w:hAnsi="仿宋" w:eastAsia="仿宋"/>
          <w:sz w:val="32"/>
          <w:szCs w:val="32"/>
          <w:shd w:val="clear" w:color="auto" w:fill="FFFFFF"/>
        </w:rPr>
        <w:t>9</w:t>
      </w:r>
      <w:r>
        <w:rPr>
          <w:rFonts w:hint="eastAsia" w:ascii="仿宋" w:hAnsi="仿宋" w:eastAsia="仿宋"/>
          <w:sz w:val="32"/>
          <w:szCs w:val="32"/>
          <w:shd w:val="clear" w:color="auto" w:fill="FFFFFF"/>
        </w:rPr>
        <w:t>年元月</w:t>
      </w:r>
      <w:r>
        <w:rPr>
          <w:rFonts w:ascii="仿宋" w:hAnsi="仿宋" w:eastAsia="仿宋"/>
          <w:sz w:val="32"/>
          <w:szCs w:val="32"/>
          <w:shd w:val="clear" w:color="auto" w:fill="FFFFFF"/>
        </w:rPr>
        <w:t>6</w:t>
      </w:r>
      <w:r>
        <w:rPr>
          <w:rFonts w:hint="eastAsia" w:ascii="仿宋" w:hAnsi="仿宋" w:eastAsia="仿宋"/>
          <w:sz w:val="32"/>
          <w:szCs w:val="32"/>
          <w:shd w:val="clear" w:color="auto" w:fill="FFFFFF"/>
        </w:rPr>
        <w:t>日。请将推荐的重大、重点项目选题表的电子版发送至指定电子信箱。</w:t>
      </w:r>
    </w:p>
    <w:p>
      <w:pPr>
        <w:widowControl/>
        <w:shd w:val="clear" w:color="auto" w:fill="FFFFFF"/>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shd w:val="clear" w:color="auto" w:fill="FFFFFF"/>
        </w:rPr>
        <w:t>联 系 人：谢剑虹</w:t>
      </w:r>
      <w:r>
        <w:rPr>
          <w:rFonts w:hint="eastAsia" w:ascii="仿宋" w:hAnsi="仿宋" w:eastAsia="仿宋" w:cs="宋体"/>
          <w:kern w:val="0"/>
          <w:sz w:val="32"/>
          <w:szCs w:val="32"/>
          <w:shd w:val="clear" w:color="auto" w:fill="FFFFFF"/>
        </w:rPr>
        <w:br w:type="textWrapping"/>
      </w:r>
      <w:r>
        <w:rPr>
          <w:rFonts w:ascii="Calibri" w:hAnsi="Calibri" w:eastAsia="仿宋" w:cs="Calibri"/>
          <w:kern w:val="0"/>
          <w:sz w:val="32"/>
          <w:szCs w:val="32"/>
          <w:shd w:val="clear" w:color="auto" w:fill="FFFFFF"/>
        </w:rPr>
        <w:t>  </w:t>
      </w:r>
      <w:r>
        <w:rPr>
          <w:rFonts w:hint="eastAsia" w:ascii="仿宋" w:hAnsi="仿宋" w:eastAsia="仿宋" w:cs="宋体"/>
          <w:kern w:val="0"/>
          <w:sz w:val="32"/>
          <w:szCs w:val="32"/>
          <w:shd w:val="clear" w:color="auto" w:fill="FFFFFF"/>
        </w:rPr>
        <w:t xml:space="preserve"> </w:t>
      </w:r>
      <w:r>
        <w:rPr>
          <w:rFonts w:ascii="仿宋" w:hAnsi="仿宋" w:eastAsia="仿宋" w:cs="宋体"/>
          <w:kern w:val="0"/>
          <w:sz w:val="32"/>
          <w:szCs w:val="32"/>
          <w:shd w:val="clear" w:color="auto" w:fill="FFFFFF"/>
        </w:rPr>
        <w:t xml:space="preserve">  </w:t>
      </w:r>
      <w:r>
        <w:rPr>
          <w:rFonts w:hint="eastAsia" w:ascii="仿宋" w:hAnsi="仿宋" w:eastAsia="仿宋" w:cs="宋体"/>
          <w:kern w:val="0"/>
          <w:sz w:val="32"/>
          <w:szCs w:val="32"/>
          <w:shd w:val="clear" w:color="auto" w:fill="FFFFFF"/>
        </w:rPr>
        <w:t>联系电话：0731-</w:t>
      </w:r>
      <w:r>
        <w:rPr>
          <w:rFonts w:ascii="仿宋" w:hAnsi="仿宋" w:eastAsia="仿宋" w:cs="宋体"/>
          <w:kern w:val="0"/>
          <w:sz w:val="32"/>
          <w:szCs w:val="32"/>
          <w:shd w:val="clear" w:color="auto" w:fill="FFFFFF"/>
        </w:rPr>
        <w:t>84402926</w:t>
      </w:r>
      <w:r>
        <w:rPr>
          <w:rFonts w:hint="eastAsia" w:ascii="仿宋" w:hAnsi="仿宋" w:eastAsia="仿宋" w:cs="宋体"/>
          <w:kern w:val="0"/>
          <w:sz w:val="32"/>
          <w:szCs w:val="32"/>
          <w:shd w:val="clear" w:color="auto" w:fill="FFFFFF"/>
        </w:rPr>
        <w:br w:type="textWrapping"/>
      </w:r>
      <w:r>
        <w:rPr>
          <w:rFonts w:ascii="Calibri" w:hAnsi="Calibri" w:eastAsia="仿宋" w:cs="Calibri"/>
          <w:kern w:val="0"/>
          <w:sz w:val="32"/>
          <w:szCs w:val="32"/>
          <w:shd w:val="clear" w:color="auto" w:fill="FFFFFF"/>
        </w:rPr>
        <w:t>  </w:t>
      </w:r>
      <w:r>
        <w:rPr>
          <w:rFonts w:hint="eastAsia" w:ascii="仿宋" w:hAnsi="仿宋" w:eastAsia="仿宋" w:cs="宋体"/>
          <w:kern w:val="0"/>
          <w:sz w:val="32"/>
          <w:szCs w:val="32"/>
          <w:shd w:val="clear" w:color="auto" w:fill="FFFFFF"/>
        </w:rPr>
        <w:t xml:space="preserve"> </w:t>
      </w:r>
      <w:r>
        <w:rPr>
          <w:rFonts w:ascii="仿宋" w:hAnsi="仿宋" w:eastAsia="仿宋" w:cs="宋体"/>
          <w:kern w:val="0"/>
          <w:sz w:val="32"/>
          <w:szCs w:val="32"/>
          <w:shd w:val="clear" w:color="auto" w:fill="FFFFFF"/>
        </w:rPr>
        <w:t xml:space="preserve">  </w:t>
      </w:r>
      <w:r>
        <w:rPr>
          <w:rFonts w:hint="eastAsia" w:ascii="仿宋" w:hAnsi="仿宋" w:eastAsia="仿宋" w:cs="宋体"/>
          <w:kern w:val="0"/>
          <w:sz w:val="32"/>
          <w:szCs w:val="32"/>
          <w:shd w:val="clear" w:color="auto" w:fill="FFFFFF"/>
        </w:rPr>
        <w:t>电子信箱：h</w:t>
      </w:r>
      <w:r>
        <w:rPr>
          <w:rFonts w:ascii="仿宋" w:hAnsi="仿宋" w:eastAsia="仿宋" w:cs="宋体"/>
          <w:kern w:val="0"/>
          <w:sz w:val="32"/>
          <w:szCs w:val="32"/>
          <w:shd w:val="clear" w:color="auto" w:fill="FFFFFF"/>
        </w:rPr>
        <w:t>ngh2011@qq.com</w:t>
      </w:r>
      <w:r>
        <w:rPr>
          <w:rFonts w:ascii="Calibri" w:hAnsi="Calibri" w:eastAsia="仿宋" w:cs="Calibri"/>
          <w:kern w:val="0"/>
          <w:sz w:val="32"/>
          <w:szCs w:val="32"/>
          <w:shd w:val="clear" w:color="auto" w:fill="FFFFFF"/>
        </w:rPr>
        <w:t>   </w:t>
      </w:r>
    </w:p>
    <w:p>
      <w:pPr>
        <w:widowControl/>
        <w:shd w:val="clear" w:color="auto" w:fill="FFFFFF"/>
        <w:spacing w:line="360" w:lineRule="auto"/>
        <w:jc w:val="center"/>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 xml:space="preserve">                  </w:t>
      </w:r>
    </w:p>
    <w:p>
      <w:pPr>
        <w:widowControl/>
        <w:shd w:val="clear" w:color="auto" w:fill="FFFFFF"/>
        <w:spacing w:line="360" w:lineRule="auto"/>
        <w:jc w:val="center"/>
        <w:rPr>
          <w:rFonts w:ascii="仿宋" w:hAnsi="仿宋" w:eastAsia="仿宋" w:cs="宋体"/>
          <w:kern w:val="0"/>
          <w:sz w:val="32"/>
          <w:szCs w:val="32"/>
          <w:shd w:val="clear" w:color="auto" w:fill="FFFFFF"/>
        </w:rPr>
      </w:pPr>
    </w:p>
    <w:p>
      <w:pPr>
        <w:widowControl/>
        <w:shd w:val="clear" w:color="auto" w:fill="FFFFFF"/>
        <w:spacing w:line="360" w:lineRule="auto"/>
        <w:jc w:val="center"/>
        <w:rPr>
          <w:rFonts w:ascii="仿宋" w:hAnsi="仿宋" w:eastAsia="仿宋" w:cs="宋体"/>
          <w:kern w:val="0"/>
          <w:sz w:val="32"/>
          <w:szCs w:val="32"/>
          <w:shd w:val="clear" w:color="auto" w:fill="FFFFFF"/>
        </w:rPr>
      </w:pPr>
    </w:p>
    <w:p>
      <w:pPr>
        <w:widowControl/>
        <w:shd w:val="clear" w:color="auto" w:fill="FFFFFF"/>
        <w:spacing w:line="360" w:lineRule="auto"/>
        <w:jc w:val="center"/>
        <w:rPr>
          <w:rFonts w:ascii="仿宋" w:hAnsi="仿宋" w:eastAsia="仿宋" w:cs="宋体"/>
          <w:kern w:val="0"/>
          <w:sz w:val="32"/>
          <w:szCs w:val="32"/>
          <w:shd w:val="clear" w:color="auto" w:fill="FFFFFF"/>
        </w:rPr>
      </w:pPr>
      <w:r>
        <w:rPr>
          <w:rFonts w:ascii="仿宋" w:hAnsi="仿宋" w:eastAsia="仿宋" w:cs="宋体"/>
          <w:kern w:val="0"/>
          <w:sz w:val="32"/>
          <w:szCs w:val="32"/>
          <w:shd w:val="clear" w:color="auto" w:fill="FFFFFF"/>
        </w:rPr>
        <w:t xml:space="preserve">               </w:t>
      </w:r>
      <w:r>
        <w:rPr>
          <w:rFonts w:hint="eastAsia" w:ascii="仿宋" w:hAnsi="仿宋" w:eastAsia="仿宋" w:cs="宋体"/>
          <w:kern w:val="0"/>
          <w:sz w:val="32"/>
          <w:szCs w:val="32"/>
          <w:shd w:val="clear" w:color="auto" w:fill="FFFFFF"/>
        </w:rPr>
        <w:t>湖南省教育科学规划领导小组办公室</w:t>
      </w:r>
      <w:r>
        <w:rPr>
          <w:rFonts w:hint="eastAsia" w:ascii="仿宋" w:hAnsi="仿宋" w:eastAsia="仿宋" w:cs="宋体"/>
          <w:kern w:val="0"/>
          <w:sz w:val="32"/>
          <w:szCs w:val="32"/>
          <w:shd w:val="clear" w:color="auto" w:fill="FFFFFF"/>
        </w:rPr>
        <w:br w:type="textWrapping"/>
      </w:r>
      <w:r>
        <w:rPr>
          <w:rFonts w:ascii="Calibri" w:hAnsi="Calibri" w:eastAsia="仿宋" w:cs="Calibri"/>
          <w:kern w:val="0"/>
          <w:sz w:val="32"/>
          <w:szCs w:val="32"/>
          <w:shd w:val="clear" w:color="auto" w:fill="FFFFFF"/>
        </w:rPr>
        <w:t>                   </w:t>
      </w:r>
      <w:r>
        <w:rPr>
          <w:rFonts w:hint="eastAsia" w:ascii="仿宋" w:hAnsi="仿宋" w:eastAsia="仿宋" w:cs="宋体"/>
          <w:kern w:val="0"/>
          <w:sz w:val="32"/>
          <w:szCs w:val="32"/>
          <w:shd w:val="clear" w:color="auto" w:fill="FFFFFF"/>
        </w:rPr>
        <w:t>201</w:t>
      </w:r>
      <w:r>
        <w:rPr>
          <w:rFonts w:ascii="仿宋" w:hAnsi="仿宋" w:eastAsia="仿宋" w:cs="宋体"/>
          <w:kern w:val="0"/>
          <w:sz w:val="32"/>
          <w:szCs w:val="32"/>
          <w:shd w:val="clear" w:color="auto" w:fill="FFFFFF"/>
        </w:rPr>
        <w:t>8</w:t>
      </w:r>
      <w:r>
        <w:rPr>
          <w:rFonts w:hint="eastAsia" w:ascii="仿宋" w:hAnsi="仿宋" w:eastAsia="仿宋" w:cs="宋体"/>
          <w:kern w:val="0"/>
          <w:sz w:val="32"/>
          <w:szCs w:val="32"/>
          <w:shd w:val="clear" w:color="auto" w:fill="FFFFFF"/>
        </w:rPr>
        <w:t>年1</w:t>
      </w:r>
      <w:r>
        <w:rPr>
          <w:rFonts w:ascii="仿宋" w:hAnsi="仿宋" w:eastAsia="仿宋" w:cs="宋体"/>
          <w:kern w:val="0"/>
          <w:sz w:val="32"/>
          <w:szCs w:val="32"/>
          <w:shd w:val="clear" w:color="auto" w:fill="FFFFFF"/>
        </w:rPr>
        <w:t>2</w:t>
      </w:r>
      <w:r>
        <w:rPr>
          <w:rFonts w:hint="eastAsia" w:ascii="仿宋" w:hAnsi="仿宋" w:eastAsia="仿宋" w:cs="宋体"/>
          <w:kern w:val="0"/>
          <w:sz w:val="32"/>
          <w:szCs w:val="32"/>
          <w:shd w:val="clear" w:color="auto" w:fill="FFFFFF"/>
        </w:rPr>
        <w:t>月2</w:t>
      </w:r>
      <w:r>
        <w:rPr>
          <w:rFonts w:ascii="仿宋" w:hAnsi="仿宋" w:eastAsia="仿宋" w:cs="宋体"/>
          <w:kern w:val="0"/>
          <w:sz w:val="32"/>
          <w:szCs w:val="32"/>
          <w:shd w:val="clear" w:color="auto" w:fill="FFFFFF"/>
        </w:rPr>
        <w:t>6</w:t>
      </w:r>
      <w:r>
        <w:rPr>
          <w:rFonts w:hint="eastAsia" w:ascii="仿宋" w:hAnsi="仿宋" w:eastAsia="仿宋" w:cs="宋体"/>
          <w:kern w:val="0"/>
          <w:sz w:val="32"/>
          <w:szCs w:val="32"/>
          <w:shd w:val="clear" w:color="auto" w:fill="FFFFFF"/>
        </w:rPr>
        <w:t>日</w:t>
      </w:r>
    </w:p>
    <w:p>
      <w:pPr>
        <w:pStyle w:val="5"/>
        <w:shd w:val="clear" w:color="auto" w:fill="FFFFFF"/>
        <w:spacing w:before="0" w:beforeAutospacing="0" w:after="0" w:afterAutospacing="0" w:line="360" w:lineRule="auto"/>
        <w:ind w:firstLine="640" w:firstLineChars="200"/>
        <w:rPr>
          <w:rFonts w:ascii="仿宋" w:hAnsi="仿宋" w:eastAsia="仿宋"/>
          <w:sz w:val="18"/>
          <w:szCs w:val="18"/>
        </w:rPr>
      </w:pPr>
      <w:r>
        <w:rPr>
          <w:rFonts w:hint="eastAsia" w:ascii="仿宋" w:hAnsi="仿宋" w:eastAsia="仿宋"/>
          <w:sz w:val="32"/>
          <w:szCs w:val="32"/>
          <w:shd w:val="clear" w:color="auto" w:fill="FFFFFF"/>
        </w:rPr>
        <w:br w:type="textWrapping"/>
      </w:r>
      <w:r>
        <w:rPr>
          <w:rFonts w:ascii="Calibri" w:hAnsi="Calibri" w:eastAsia="仿宋" w:cs="Calibri"/>
          <w:sz w:val="27"/>
          <w:szCs w:val="27"/>
          <w:shd w:val="clear" w:color="auto" w:fill="FFFFFF"/>
        </w:rPr>
        <w:t>   </w:t>
      </w:r>
      <w:r>
        <w:rPr>
          <w:rFonts w:hint="eastAsia" w:ascii="仿宋" w:hAnsi="仿宋" w:eastAsia="仿宋"/>
          <w:sz w:val="27"/>
          <w:szCs w:val="27"/>
          <w:shd w:val="clear" w:color="auto" w:fill="FFFFFF"/>
        </w:rPr>
        <w:br w:type="textWrapping"/>
      </w: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after="156" w:afterLines="50"/>
        <w:rPr>
          <w:rFonts w:ascii="仿宋_GB2312" w:hAnsi="宋体" w:eastAsia="仿宋_GB2312"/>
          <w:sz w:val="30"/>
          <w:szCs w:val="30"/>
        </w:rPr>
      </w:pPr>
      <w:r>
        <w:rPr>
          <w:rFonts w:hint="eastAsia" w:ascii="仿宋_GB2312" w:hAnsi="宋体" w:eastAsia="仿宋_GB2312"/>
          <w:sz w:val="30"/>
          <w:szCs w:val="30"/>
        </w:rPr>
        <w:t>附件1：</w:t>
      </w:r>
    </w:p>
    <w:p>
      <w:pPr>
        <w:spacing w:after="156" w:afterLines="50"/>
        <w:jc w:val="center"/>
        <w:rPr>
          <w:rFonts w:ascii="黑体" w:hAnsi="黑体" w:eastAsia="黑体"/>
          <w:sz w:val="32"/>
          <w:szCs w:val="32"/>
        </w:rPr>
      </w:pPr>
      <w:r>
        <w:rPr>
          <w:rFonts w:hint="eastAsia" w:ascii="黑体" w:hAnsi="黑体" w:eastAsia="黑体"/>
          <w:sz w:val="32"/>
          <w:szCs w:val="32"/>
        </w:rPr>
        <w:t>湖南省教育科学规划201</w:t>
      </w:r>
      <w:r>
        <w:rPr>
          <w:rFonts w:ascii="黑体" w:hAnsi="黑体" w:eastAsia="黑体"/>
          <w:sz w:val="32"/>
          <w:szCs w:val="32"/>
        </w:rPr>
        <w:t>9</w:t>
      </w:r>
      <w:r>
        <w:rPr>
          <w:rFonts w:hint="eastAsia" w:ascii="黑体" w:hAnsi="黑体" w:eastAsia="黑体"/>
          <w:sz w:val="32"/>
          <w:szCs w:val="32"/>
        </w:rPr>
        <w:t>年度重点项目选题推荐表</w:t>
      </w:r>
    </w:p>
    <w:tbl>
      <w:tblPr>
        <w:tblStyle w:val="6"/>
        <w:tblpPr w:leftFromText="180" w:rightFromText="180" w:vertAnchor="text" w:tblpY="1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873"/>
        <w:gridCol w:w="729"/>
        <w:gridCol w:w="1164"/>
        <w:gridCol w:w="963"/>
        <w:gridCol w:w="1306"/>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noWrap w:val="0"/>
            <w:vAlign w:val="top"/>
          </w:tcPr>
          <w:p>
            <w:pPr>
              <w:spacing w:after="156" w:afterLines="50"/>
              <w:jc w:val="center"/>
              <w:rPr>
                <w:rFonts w:ascii="黑体" w:hAnsi="黑体" w:eastAsia="黑体"/>
                <w:sz w:val="24"/>
                <w:szCs w:val="24"/>
              </w:rPr>
            </w:pPr>
            <w:r>
              <w:rPr>
                <w:rFonts w:hint="eastAsia" w:ascii="黑体" w:hAnsi="黑体" w:eastAsia="黑体"/>
                <w:sz w:val="24"/>
                <w:szCs w:val="24"/>
              </w:rPr>
              <w:t>选题</w:t>
            </w:r>
          </w:p>
        </w:tc>
        <w:tc>
          <w:tcPr>
            <w:tcW w:w="873" w:type="dxa"/>
            <w:noWrap w:val="0"/>
            <w:vAlign w:val="top"/>
          </w:tcPr>
          <w:p>
            <w:pPr>
              <w:spacing w:after="156" w:afterLines="50"/>
              <w:jc w:val="center"/>
              <w:rPr>
                <w:rFonts w:ascii="黑体" w:hAnsi="黑体" w:eastAsia="黑体"/>
                <w:sz w:val="24"/>
                <w:szCs w:val="24"/>
              </w:rPr>
            </w:pPr>
            <w:r>
              <w:rPr>
                <w:rFonts w:hint="eastAsia" w:ascii="黑体" w:hAnsi="黑体" w:eastAsia="黑体"/>
                <w:sz w:val="24"/>
                <w:szCs w:val="24"/>
              </w:rPr>
              <w:t>选题类型</w:t>
            </w:r>
          </w:p>
        </w:tc>
        <w:tc>
          <w:tcPr>
            <w:tcW w:w="729" w:type="dxa"/>
            <w:noWrap w:val="0"/>
            <w:vAlign w:val="top"/>
          </w:tcPr>
          <w:p>
            <w:pPr>
              <w:spacing w:after="156" w:afterLines="50"/>
              <w:jc w:val="center"/>
              <w:rPr>
                <w:rFonts w:ascii="黑体" w:hAnsi="黑体" w:eastAsia="黑体"/>
                <w:sz w:val="24"/>
                <w:szCs w:val="24"/>
              </w:rPr>
            </w:pPr>
            <w:r>
              <w:rPr>
                <w:rFonts w:hint="eastAsia" w:ascii="黑体" w:hAnsi="黑体" w:eastAsia="黑体"/>
                <w:sz w:val="24"/>
                <w:szCs w:val="24"/>
              </w:rPr>
              <w:t>推荐人</w:t>
            </w:r>
          </w:p>
        </w:tc>
        <w:tc>
          <w:tcPr>
            <w:tcW w:w="1164" w:type="dxa"/>
            <w:noWrap w:val="0"/>
            <w:vAlign w:val="top"/>
          </w:tcPr>
          <w:p>
            <w:pPr>
              <w:spacing w:after="156" w:afterLines="50"/>
              <w:jc w:val="center"/>
              <w:rPr>
                <w:rFonts w:ascii="黑体" w:hAnsi="黑体" w:eastAsia="黑体"/>
                <w:sz w:val="24"/>
                <w:szCs w:val="24"/>
              </w:rPr>
            </w:pPr>
            <w:r>
              <w:rPr>
                <w:rFonts w:hint="eastAsia" w:ascii="黑体" w:hAnsi="黑体" w:eastAsia="黑体"/>
                <w:sz w:val="24"/>
                <w:szCs w:val="24"/>
              </w:rPr>
              <w:t>单位</w:t>
            </w:r>
          </w:p>
        </w:tc>
        <w:tc>
          <w:tcPr>
            <w:tcW w:w="963" w:type="dxa"/>
            <w:noWrap w:val="0"/>
            <w:vAlign w:val="top"/>
          </w:tcPr>
          <w:p>
            <w:pPr>
              <w:spacing w:after="156" w:afterLines="50"/>
              <w:jc w:val="center"/>
              <w:rPr>
                <w:rFonts w:ascii="黑体" w:hAnsi="黑体" w:eastAsia="黑体"/>
                <w:sz w:val="24"/>
                <w:szCs w:val="24"/>
              </w:rPr>
            </w:pPr>
            <w:r>
              <w:rPr>
                <w:rFonts w:hint="eastAsia" w:ascii="黑体" w:hAnsi="黑体" w:eastAsia="黑体"/>
                <w:sz w:val="24"/>
                <w:szCs w:val="24"/>
              </w:rPr>
              <w:t>职称/职务</w:t>
            </w:r>
          </w:p>
        </w:tc>
        <w:tc>
          <w:tcPr>
            <w:tcW w:w="1306" w:type="dxa"/>
            <w:noWrap w:val="0"/>
            <w:vAlign w:val="top"/>
          </w:tcPr>
          <w:p>
            <w:pPr>
              <w:spacing w:after="156" w:afterLines="50"/>
              <w:jc w:val="center"/>
              <w:rPr>
                <w:rFonts w:ascii="黑体" w:hAnsi="黑体" w:eastAsia="黑体"/>
                <w:sz w:val="24"/>
                <w:szCs w:val="24"/>
              </w:rPr>
            </w:pPr>
            <w:r>
              <w:rPr>
                <w:rFonts w:hint="eastAsia" w:ascii="黑体" w:hAnsi="黑体" w:eastAsia="黑体"/>
                <w:sz w:val="24"/>
                <w:szCs w:val="24"/>
              </w:rPr>
              <w:t>联系电话</w:t>
            </w:r>
          </w:p>
        </w:tc>
        <w:tc>
          <w:tcPr>
            <w:tcW w:w="1307" w:type="dxa"/>
            <w:noWrap w:val="0"/>
            <w:vAlign w:val="top"/>
          </w:tcPr>
          <w:p>
            <w:pPr>
              <w:spacing w:after="156" w:afterLines="50"/>
              <w:jc w:val="center"/>
              <w:rPr>
                <w:rFonts w:ascii="黑体" w:hAnsi="黑体" w:eastAsia="黑体"/>
                <w:sz w:val="24"/>
                <w:szCs w:val="24"/>
              </w:rPr>
            </w:pPr>
            <w:r>
              <w:rPr>
                <w:rFonts w:hint="eastAsia" w:ascii="黑体" w:hAnsi="黑体" w:eastAsia="黑体"/>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noWrap w:val="0"/>
            <w:vAlign w:val="top"/>
          </w:tcPr>
          <w:p>
            <w:pPr>
              <w:spacing w:after="156" w:afterLines="50"/>
              <w:rPr>
                <w:rFonts w:ascii="黑体" w:hAnsi="黑体" w:eastAsia="黑体"/>
                <w:sz w:val="32"/>
                <w:szCs w:val="32"/>
              </w:rPr>
            </w:pPr>
          </w:p>
        </w:tc>
        <w:tc>
          <w:tcPr>
            <w:tcW w:w="873" w:type="dxa"/>
            <w:noWrap w:val="0"/>
            <w:vAlign w:val="top"/>
          </w:tcPr>
          <w:p>
            <w:pPr>
              <w:spacing w:after="156" w:afterLines="50"/>
              <w:rPr>
                <w:rFonts w:ascii="黑体" w:hAnsi="黑体" w:eastAsia="黑体"/>
                <w:sz w:val="32"/>
                <w:szCs w:val="32"/>
              </w:rPr>
            </w:pPr>
          </w:p>
        </w:tc>
        <w:tc>
          <w:tcPr>
            <w:tcW w:w="729" w:type="dxa"/>
            <w:noWrap w:val="0"/>
            <w:vAlign w:val="top"/>
          </w:tcPr>
          <w:p>
            <w:pPr>
              <w:spacing w:after="156" w:afterLines="50"/>
              <w:rPr>
                <w:rFonts w:ascii="黑体" w:hAnsi="黑体" w:eastAsia="黑体"/>
                <w:sz w:val="32"/>
                <w:szCs w:val="32"/>
              </w:rPr>
            </w:pPr>
          </w:p>
        </w:tc>
        <w:tc>
          <w:tcPr>
            <w:tcW w:w="1164" w:type="dxa"/>
            <w:noWrap w:val="0"/>
            <w:vAlign w:val="top"/>
          </w:tcPr>
          <w:p>
            <w:pPr>
              <w:spacing w:after="156" w:afterLines="50"/>
              <w:rPr>
                <w:rFonts w:ascii="黑体" w:hAnsi="黑体" w:eastAsia="黑体"/>
                <w:sz w:val="32"/>
                <w:szCs w:val="32"/>
              </w:rPr>
            </w:pPr>
          </w:p>
        </w:tc>
        <w:tc>
          <w:tcPr>
            <w:tcW w:w="963" w:type="dxa"/>
            <w:noWrap w:val="0"/>
            <w:vAlign w:val="top"/>
          </w:tcPr>
          <w:p>
            <w:pPr>
              <w:spacing w:after="156" w:afterLines="50"/>
              <w:rPr>
                <w:rFonts w:ascii="黑体" w:hAnsi="黑体" w:eastAsia="黑体"/>
                <w:sz w:val="32"/>
                <w:szCs w:val="32"/>
              </w:rPr>
            </w:pPr>
          </w:p>
        </w:tc>
        <w:tc>
          <w:tcPr>
            <w:tcW w:w="1306" w:type="dxa"/>
            <w:noWrap w:val="0"/>
            <w:vAlign w:val="top"/>
          </w:tcPr>
          <w:p>
            <w:pPr>
              <w:spacing w:after="156" w:afterLines="50"/>
              <w:rPr>
                <w:rFonts w:ascii="黑体" w:hAnsi="黑体" w:eastAsia="黑体"/>
                <w:sz w:val="32"/>
                <w:szCs w:val="32"/>
              </w:rPr>
            </w:pPr>
          </w:p>
        </w:tc>
        <w:tc>
          <w:tcPr>
            <w:tcW w:w="1307" w:type="dxa"/>
            <w:noWrap w:val="0"/>
            <w:vAlign w:val="top"/>
          </w:tcPr>
          <w:p>
            <w:pPr>
              <w:spacing w:after="156" w:afterLines="50"/>
              <w:rPr>
                <w:rFonts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0" w:type="dxa"/>
            <w:noWrap w:val="0"/>
            <w:vAlign w:val="top"/>
          </w:tcPr>
          <w:p>
            <w:pPr>
              <w:spacing w:after="156" w:afterLines="50"/>
              <w:rPr>
                <w:rFonts w:ascii="黑体" w:hAnsi="黑体" w:eastAsia="黑体"/>
                <w:sz w:val="32"/>
                <w:szCs w:val="32"/>
              </w:rPr>
            </w:pPr>
          </w:p>
        </w:tc>
        <w:tc>
          <w:tcPr>
            <w:tcW w:w="873" w:type="dxa"/>
            <w:noWrap w:val="0"/>
            <w:vAlign w:val="top"/>
          </w:tcPr>
          <w:p>
            <w:pPr>
              <w:spacing w:after="156" w:afterLines="50"/>
              <w:rPr>
                <w:rFonts w:ascii="黑体" w:hAnsi="黑体" w:eastAsia="黑体"/>
                <w:sz w:val="32"/>
                <w:szCs w:val="32"/>
              </w:rPr>
            </w:pPr>
          </w:p>
        </w:tc>
        <w:tc>
          <w:tcPr>
            <w:tcW w:w="729" w:type="dxa"/>
            <w:noWrap w:val="0"/>
            <w:vAlign w:val="top"/>
          </w:tcPr>
          <w:p>
            <w:pPr>
              <w:spacing w:after="156" w:afterLines="50"/>
              <w:rPr>
                <w:rFonts w:ascii="黑体" w:hAnsi="黑体" w:eastAsia="黑体"/>
                <w:sz w:val="32"/>
                <w:szCs w:val="32"/>
              </w:rPr>
            </w:pPr>
          </w:p>
        </w:tc>
        <w:tc>
          <w:tcPr>
            <w:tcW w:w="1164" w:type="dxa"/>
            <w:noWrap w:val="0"/>
            <w:vAlign w:val="top"/>
          </w:tcPr>
          <w:p>
            <w:pPr>
              <w:spacing w:after="156" w:afterLines="50"/>
              <w:rPr>
                <w:rFonts w:ascii="黑体" w:hAnsi="黑体" w:eastAsia="黑体"/>
                <w:sz w:val="32"/>
                <w:szCs w:val="32"/>
              </w:rPr>
            </w:pPr>
          </w:p>
        </w:tc>
        <w:tc>
          <w:tcPr>
            <w:tcW w:w="963" w:type="dxa"/>
            <w:noWrap w:val="0"/>
            <w:vAlign w:val="top"/>
          </w:tcPr>
          <w:p>
            <w:pPr>
              <w:spacing w:after="156" w:afterLines="50"/>
              <w:rPr>
                <w:rFonts w:ascii="黑体" w:hAnsi="黑体" w:eastAsia="黑体"/>
                <w:sz w:val="32"/>
                <w:szCs w:val="32"/>
              </w:rPr>
            </w:pPr>
          </w:p>
        </w:tc>
        <w:tc>
          <w:tcPr>
            <w:tcW w:w="1306" w:type="dxa"/>
            <w:noWrap w:val="0"/>
            <w:vAlign w:val="top"/>
          </w:tcPr>
          <w:p>
            <w:pPr>
              <w:spacing w:after="156" w:afterLines="50"/>
              <w:rPr>
                <w:rFonts w:ascii="黑体" w:hAnsi="黑体" w:eastAsia="黑体"/>
                <w:sz w:val="32"/>
                <w:szCs w:val="32"/>
              </w:rPr>
            </w:pPr>
          </w:p>
        </w:tc>
        <w:tc>
          <w:tcPr>
            <w:tcW w:w="1307" w:type="dxa"/>
            <w:noWrap w:val="0"/>
            <w:vAlign w:val="top"/>
          </w:tcPr>
          <w:p>
            <w:pPr>
              <w:spacing w:after="156" w:afterLines="50"/>
              <w:rPr>
                <w:rFonts w:ascii="黑体" w:hAnsi="黑体" w:eastAsia="黑体"/>
                <w:sz w:val="32"/>
                <w:szCs w:val="32"/>
              </w:rPr>
            </w:pPr>
          </w:p>
        </w:tc>
      </w:tr>
    </w:tbl>
    <w:p>
      <w:pPr>
        <w:widowControl/>
        <w:shd w:val="clear" w:color="auto" w:fill="FFFFFF"/>
        <w:spacing w:line="330" w:lineRule="atLeast"/>
        <w:jc w:val="right"/>
        <w:rPr>
          <w:rFonts w:ascii="仿宋" w:hAnsi="宋体" w:eastAsia="仿宋" w:cs="宋体"/>
          <w:kern w:val="0"/>
          <w:sz w:val="18"/>
          <w:szCs w:val="18"/>
        </w:rPr>
      </w:pPr>
    </w:p>
    <w:p>
      <w:pPr>
        <w:widowControl/>
        <w:shd w:val="clear" w:color="auto" w:fill="FFFFFF"/>
        <w:spacing w:line="330" w:lineRule="atLeast"/>
        <w:jc w:val="right"/>
        <w:rPr>
          <w:rFonts w:ascii="仿宋" w:hAnsi="宋体" w:eastAsia="仿宋" w:cs="宋体"/>
          <w:kern w:val="0"/>
          <w:sz w:val="18"/>
          <w:szCs w:val="18"/>
        </w:rPr>
      </w:pPr>
    </w:p>
    <w:p>
      <w:pPr>
        <w:spacing w:after="156" w:afterLines="50"/>
        <w:rPr>
          <w:rFonts w:ascii="仿宋_GB2312" w:hAnsi="宋体" w:eastAsia="仿宋_GB2312"/>
          <w:sz w:val="30"/>
          <w:szCs w:val="30"/>
        </w:rPr>
      </w:pPr>
      <w:r>
        <w:rPr>
          <w:rFonts w:hint="eastAsia" w:ascii="仿宋_GB2312" w:hAnsi="宋体" w:eastAsia="仿宋_GB2312"/>
          <w:sz w:val="30"/>
          <w:szCs w:val="30"/>
        </w:rPr>
        <w:t>附件2：</w:t>
      </w:r>
    </w:p>
    <w:p>
      <w:pPr>
        <w:jc w:val="center"/>
        <w:rPr>
          <w:rFonts w:ascii="黑体" w:hAnsi="黑体" w:eastAsia="黑体"/>
          <w:sz w:val="32"/>
          <w:szCs w:val="32"/>
        </w:rPr>
      </w:pPr>
      <w:r>
        <w:rPr>
          <w:rFonts w:hint="eastAsia" w:ascii="黑体" w:hAnsi="黑体" w:eastAsia="黑体"/>
          <w:sz w:val="32"/>
          <w:szCs w:val="32"/>
        </w:rPr>
        <w:t>201</w:t>
      </w:r>
      <w:r>
        <w:rPr>
          <w:rFonts w:ascii="黑体" w:hAnsi="黑体" w:eastAsia="黑体"/>
          <w:sz w:val="32"/>
          <w:szCs w:val="32"/>
        </w:rPr>
        <w:t>6</w:t>
      </w:r>
      <w:r>
        <w:rPr>
          <w:rFonts w:hint="eastAsia" w:ascii="黑体" w:hAnsi="黑体" w:eastAsia="黑体"/>
          <w:sz w:val="32"/>
          <w:szCs w:val="32"/>
        </w:rPr>
        <w:t>—201</w:t>
      </w:r>
      <w:r>
        <w:rPr>
          <w:rFonts w:ascii="黑体" w:hAnsi="黑体" w:eastAsia="黑体"/>
          <w:sz w:val="32"/>
          <w:szCs w:val="32"/>
        </w:rPr>
        <w:t>8</w:t>
      </w:r>
      <w:r>
        <w:rPr>
          <w:rFonts w:hint="eastAsia" w:ascii="黑体" w:hAnsi="黑体" w:eastAsia="黑体"/>
          <w:sz w:val="32"/>
          <w:szCs w:val="32"/>
        </w:rPr>
        <w:t>年湖南省教育科学规划立项重点课题</w:t>
      </w:r>
    </w:p>
    <w:tbl>
      <w:tblPr>
        <w:tblStyle w:val="6"/>
        <w:tblW w:w="8522" w:type="dxa"/>
        <w:tblInd w:w="0" w:type="dxa"/>
        <w:tblLayout w:type="fixed"/>
        <w:tblCellMar>
          <w:top w:w="0" w:type="dxa"/>
          <w:left w:w="108" w:type="dxa"/>
          <w:bottom w:w="0" w:type="dxa"/>
          <w:right w:w="108" w:type="dxa"/>
        </w:tblCellMar>
      </w:tblPr>
      <w:tblGrid>
        <w:gridCol w:w="884"/>
        <w:gridCol w:w="5809"/>
        <w:gridCol w:w="1829"/>
      </w:tblGrid>
      <w:tr>
        <w:tblPrEx>
          <w:tblLayout w:type="fixed"/>
          <w:tblCellMar>
            <w:top w:w="0" w:type="dxa"/>
            <w:left w:w="108" w:type="dxa"/>
            <w:bottom w:w="0" w:type="dxa"/>
            <w:right w:w="108" w:type="dxa"/>
          </w:tblCellMar>
        </w:tblPrEx>
        <w:trPr>
          <w:trHeight w:val="20" w:hRule="atLeast"/>
        </w:trPr>
        <w:tc>
          <w:tcPr>
            <w:tcW w:w="88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湖南职业院校产教融合体制机制研究</w:t>
            </w:r>
          </w:p>
        </w:tc>
        <w:tc>
          <w:tcPr>
            <w:tcW w:w="182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新时期湖南中小学“择校热”问题、成因及对策研究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新时期校园欺凌现象、成因及防治对策研究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2018-2035年湖南教育现代化目标任务及推进路径研究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湖南省应用型本科高校产教融合体制机制研究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湖南公立高等学校章程实施督导机制研究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高校思想政治教育</w:t>
            </w:r>
            <w:r>
              <w:rPr>
                <w:rFonts w:ascii="Arial" w:hAnsi="Arial" w:eastAsia="宋体" w:cs="Arial"/>
                <w:kern w:val="0"/>
                <w:sz w:val="20"/>
                <w:szCs w:val="20"/>
              </w:rPr>
              <w:t>“</w:t>
            </w:r>
            <w:r>
              <w:rPr>
                <w:rFonts w:hint="eastAsia" w:ascii="宋体" w:hAnsi="宋体" w:eastAsia="宋体" w:cs="宋体"/>
                <w:kern w:val="0"/>
                <w:sz w:val="20"/>
                <w:szCs w:val="20"/>
              </w:rPr>
              <w:t>全过程</w:t>
            </w:r>
            <w:r>
              <w:rPr>
                <w:rFonts w:ascii="Arial" w:hAnsi="Arial" w:eastAsia="宋体" w:cs="Arial"/>
                <w:kern w:val="0"/>
                <w:sz w:val="20"/>
                <w:szCs w:val="20"/>
              </w:rPr>
              <w:t>·</w:t>
            </w:r>
            <w:r>
              <w:rPr>
                <w:rFonts w:hint="eastAsia" w:ascii="宋体" w:hAnsi="宋体" w:eastAsia="宋体" w:cs="宋体"/>
                <w:kern w:val="0"/>
                <w:sz w:val="20"/>
                <w:szCs w:val="20"/>
              </w:rPr>
              <w:t>常态化</w:t>
            </w:r>
            <w:r>
              <w:rPr>
                <w:rFonts w:ascii="Arial" w:hAnsi="Arial" w:eastAsia="宋体" w:cs="Arial"/>
                <w:kern w:val="0"/>
                <w:sz w:val="20"/>
                <w:szCs w:val="20"/>
              </w:rPr>
              <w:t>”</w:t>
            </w:r>
            <w:r>
              <w:rPr>
                <w:rFonts w:hint="eastAsia" w:ascii="宋体" w:hAnsi="宋体" w:eastAsia="宋体" w:cs="宋体"/>
                <w:kern w:val="0"/>
                <w:sz w:val="20"/>
                <w:szCs w:val="20"/>
              </w:rPr>
              <w:t>方法模式创设研究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设计的善意与新意：高校艺术设计专业学生伦理修养与创新能力的综合培养研究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基于核心素养的地方高校数学高师生</w:t>
            </w:r>
            <w:r>
              <w:rPr>
                <w:rFonts w:ascii="Arial" w:hAnsi="Arial" w:eastAsia="宋体" w:cs="Arial"/>
                <w:kern w:val="0"/>
                <w:sz w:val="20"/>
                <w:szCs w:val="20"/>
              </w:rPr>
              <w:t>PCK</w:t>
            </w:r>
            <w:r>
              <w:rPr>
                <w:rFonts w:hint="eastAsia" w:ascii="宋体" w:hAnsi="宋体" w:eastAsia="宋体" w:cs="宋体"/>
                <w:kern w:val="0"/>
                <w:sz w:val="20"/>
                <w:szCs w:val="20"/>
              </w:rPr>
              <w:t>构建研究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创新创业背景下地方本科院校教师胜任力模型构建研究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地方高校通信工程专业实践教学体系重构</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cs="宋体"/>
                <w:kern w:val="0"/>
                <w:sz w:val="20"/>
                <w:szCs w:val="20"/>
              </w:rPr>
            </w:pPr>
            <w:r>
              <w:rPr>
                <w:rFonts w:hint="eastAsia" w:cs="宋体"/>
                <w:kern w:val="0"/>
                <w:sz w:val="20"/>
                <w:szCs w:val="20"/>
              </w:rPr>
              <w:t>“</w:t>
            </w:r>
            <w:r>
              <w:rPr>
                <w:rFonts w:hint="eastAsia" w:ascii="宋体" w:hAnsi="宋体" w:eastAsia="宋体" w:cs="宋体"/>
                <w:kern w:val="0"/>
                <w:sz w:val="20"/>
                <w:szCs w:val="20"/>
              </w:rPr>
              <w:t>海派</w:t>
            </w:r>
            <w:r>
              <w:rPr>
                <w:rFonts w:ascii="Arial" w:hAnsi="Arial" w:cs="Arial"/>
                <w:kern w:val="0"/>
                <w:sz w:val="20"/>
                <w:szCs w:val="20"/>
              </w:rPr>
              <w:t>”</w:t>
            </w:r>
            <w:r>
              <w:rPr>
                <w:rFonts w:hint="eastAsia" w:ascii="宋体" w:hAnsi="宋体" w:eastAsia="宋体" w:cs="宋体"/>
                <w:kern w:val="0"/>
                <w:sz w:val="20"/>
                <w:szCs w:val="20"/>
              </w:rPr>
              <w:t>艺术样式融入艺术设计学科教学的理论与实践研究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基于学生学习产出导向的高校本科教学质量评价体系研究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湖南高校思想政治教育获得感提升的文化进路研究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新时期湖南应用型本科院校学术生态评价标准体系研究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湖南高职院校中外合作办学课程本土化研究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高职院校治理体系建设路径与实践研究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基于产教融合背景下的湖南省职业院校技能大赛赛制优化研究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职业院校涉校矛盾纠纷第三方调解机制研究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湖南职业院校信息化教学大赛赛制优化研究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从机械论到生命论：六年制公费师范生</w:t>
            </w:r>
            <w:r>
              <w:rPr>
                <w:rFonts w:ascii="Arial" w:hAnsi="Arial" w:eastAsia="宋体" w:cs="Arial"/>
                <w:kern w:val="0"/>
                <w:sz w:val="20"/>
                <w:szCs w:val="20"/>
              </w:rPr>
              <w:t>“</w:t>
            </w:r>
            <w:r>
              <w:rPr>
                <w:rFonts w:hint="eastAsia" w:ascii="宋体" w:hAnsi="宋体" w:eastAsia="宋体" w:cs="宋体"/>
                <w:kern w:val="0"/>
                <w:sz w:val="20"/>
                <w:szCs w:val="20"/>
              </w:rPr>
              <w:t>前段</w:t>
            </w:r>
            <w:r>
              <w:rPr>
                <w:rFonts w:ascii="Arial" w:hAnsi="Arial" w:eastAsia="宋体" w:cs="Arial"/>
                <w:kern w:val="0"/>
                <w:sz w:val="20"/>
                <w:szCs w:val="20"/>
              </w:rPr>
              <w:t>”</w:t>
            </w:r>
            <w:r>
              <w:rPr>
                <w:rFonts w:hint="eastAsia" w:ascii="宋体" w:hAnsi="宋体" w:eastAsia="宋体" w:cs="宋体"/>
                <w:kern w:val="0"/>
                <w:sz w:val="20"/>
                <w:szCs w:val="20"/>
              </w:rPr>
              <w:t>英语教学方法变革研究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高考改革背景下高中走班教学的保障机制研究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大数据时代中小学作文智能网络教育的研究与实践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建构研修导选体系优化新髙考课程选修效能的实践研究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研究型高中建设的校本探索与实践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提升乡村教师教研能力的实践研究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中华优秀传统文化视域下的中学历史教育研究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cs="宋体"/>
                <w:kern w:val="0"/>
                <w:sz w:val="20"/>
                <w:szCs w:val="20"/>
              </w:rPr>
            </w:pPr>
            <w:r>
              <w:rPr>
                <w:rFonts w:hint="eastAsia" w:cs="宋体"/>
                <w:kern w:val="0"/>
                <w:sz w:val="20"/>
                <w:szCs w:val="20"/>
              </w:rPr>
              <w:t>“</w:t>
            </w:r>
            <w:r>
              <w:rPr>
                <w:rFonts w:hint="eastAsia" w:ascii="宋体" w:hAnsi="宋体" w:eastAsia="宋体" w:cs="宋体"/>
                <w:kern w:val="0"/>
                <w:sz w:val="20"/>
                <w:szCs w:val="20"/>
              </w:rPr>
              <w:t>适合教育</w:t>
            </w:r>
            <w:r>
              <w:rPr>
                <w:rFonts w:hint="eastAsia" w:cs="宋体"/>
                <w:kern w:val="0"/>
                <w:sz w:val="20"/>
                <w:szCs w:val="20"/>
              </w:rPr>
              <w:t>”</w:t>
            </w:r>
            <w:r>
              <w:rPr>
                <w:rFonts w:hint="eastAsia" w:ascii="宋体" w:hAnsi="宋体" w:eastAsia="宋体" w:cs="宋体"/>
                <w:kern w:val="0"/>
                <w:sz w:val="20"/>
                <w:szCs w:val="20"/>
              </w:rPr>
              <w:t>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基础教育质量监测与运用研究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新时代普通中学管理者文化建设研究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改革开放40年理想信念教育基本经验研究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cs="宋体"/>
                <w:kern w:val="0"/>
                <w:sz w:val="20"/>
                <w:szCs w:val="20"/>
              </w:rPr>
            </w:pPr>
            <w:r>
              <w:rPr>
                <w:rFonts w:hint="eastAsia" w:cs="宋体"/>
                <w:kern w:val="0"/>
                <w:sz w:val="20"/>
                <w:szCs w:val="20"/>
              </w:rPr>
              <w:t>“</w:t>
            </w:r>
            <w:r>
              <w:rPr>
                <w:rFonts w:hint="eastAsia" w:ascii="宋体" w:hAnsi="宋体" w:eastAsia="宋体" w:cs="宋体"/>
                <w:kern w:val="0"/>
                <w:sz w:val="20"/>
                <w:szCs w:val="20"/>
              </w:rPr>
              <w:t>纲要</w:t>
            </w:r>
            <w:r>
              <w:rPr>
                <w:rFonts w:ascii="Arial" w:hAnsi="Arial" w:cs="Arial"/>
                <w:kern w:val="0"/>
                <w:sz w:val="20"/>
                <w:szCs w:val="20"/>
              </w:rPr>
              <w:t>”</w:t>
            </w:r>
            <w:r>
              <w:rPr>
                <w:rFonts w:hint="eastAsia" w:ascii="宋体" w:hAnsi="宋体" w:eastAsia="宋体" w:cs="宋体"/>
                <w:kern w:val="0"/>
                <w:sz w:val="20"/>
                <w:szCs w:val="20"/>
              </w:rPr>
              <w:t>课教学消除历史虚无主义影响的路径研究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cs="宋体"/>
                <w:kern w:val="0"/>
                <w:sz w:val="20"/>
                <w:szCs w:val="20"/>
              </w:rPr>
            </w:pPr>
            <w:r>
              <w:rPr>
                <w:rFonts w:hint="eastAsia" w:cs="宋体"/>
                <w:kern w:val="0"/>
                <w:sz w:val="20"/>
                <w:szCs w:val="20"/>
              </w:rPr>
              <w:t>新时代区域中小学德育有效衔接策略研究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湖南深度贫困地区教育扶贫的模式与运行机制研究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家庭资本、教育获得与社会再生产：影子教育的视角</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早期受虐经历对个体嫉妒情绪影响及干预研究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cs="宋体"/>
                <w:kern w:val="0"/>
                <w:sz w:val="20"/>
                <w:szCs w:val="20"/>
              </w:rPr>
            </w:pPr>
            <w:r>
              <w:rPr>
                <w:rFonts w:hint="eastAsia" w:cs="宋体"/>
                <w:kern w:val="0"/>
                <w:sz w:val="20"/>
                <w:szCs w:val="20"/>
              </w:rPr>
              <w:t>湖南省深度贫困地区农村留守儿童生存与发展问题研究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表达性艺术治疗促进寄宿制小学生情绪管理能力的实证研究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高职高专智慧校园建设与应用研究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高校</w:t>
            </w:r>
            <w:r>
              <w:rPr>
                <w:rFonts w:ascii="Arial" w:hAnsi="Arial" w:eastAsia="宋体" w:cs="Arial"/>
                <w:kern w:val="0"/>
                <w:sz w:val="20"/>
                <w:szCs w:val="20"/>
              </w:rPr>
              <w:t>“</w:t>
            </w:r>
            <w:r>
              <w:rPr>
                <w:rFonts w:hint="eastAsia" w:ascii="宋体" w:hAnsi="宋体" w:eastAsia="宋体" w:cs="宋体"/>
                <w:kern w:val="0"/>
                <w:sz w:val="20"/>
                <w:szCs w:val="20"/>
              </w:rPr>
              <w:t>强化体育课和课外体育锻炼</w:t>
            </w:r>
            <w:r>
              <w:rPr>
                <w:rFonts w:ascii="Arial" w:hAnsi="Arial" w:eastAsia="宋体" w:cs="Arial"/>
                <w:kern w:val="0"/>
                <w:sz w:val="20"/>
                <w:szCs w:val="20"/>
              </w:rPr>
              <w:t>”</w:t>
            </w:r>
            <w:r>
              <w:rPr>
                <w:rFonts w:hint="eastAsia" w:ascii="宋体" w:hAnsi="宋体" w:eastAsia="宋体" w:cs="宋体"/>
                <w:kern w:val="0"/>
                <w:sz w:val="20"/>
                <w:szCs w:val="20"/>
              </w:rPr>
              <w:t>的路径研究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湘南民间艺术融入艺术设计教学的实践研究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基于核心素养培育的小学美术创生课堂教学范式研究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湖南省学校规划建设条例的制度创新与实施推进研究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少数民族地区城乡义务教育一体化实施策略研究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初等教育学基本原理：总体框架与内容设计</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新时代我国学校教育目的的蕴含</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cs="宋体"/>
                <w:kern w:val="0"/>
                <w:sz w:val="20"/>
                <w:szCs w:val="20"/>
              </w:rPr>
            </w:pPr>
            <w:r>
              <w:rPr>
                <w:rFonts w:hint="eastAsia" w:cs="宋体"/>
                <w:kern w:val="0"/>
                <w:sz w:val="20"/>
                <w:szCs w:val="20"/>
              </w:rPr>
              <w:t>2018</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何炳麟教育思想与湖湘名校特色发展研究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互联网时代教育舆情与教师形象的影视建构</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“互联网+”背景下大学生公民核心素养的培育研究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产教融合背景下面向专业群的课程群体系构建与运行机制研究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湖南高校“双一流”高端领军人才队伍建设研究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中外合作办学经验转化与辐射机制研究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现代大学制度视角下的公立高校办学自主权落实法律保障机制建设研究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国际视野下地方大学化学类基础课双语教学“链条式”改革与实践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湖南高校分类转型发展的推进路径与政策供给研究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基于过程性指标的幼儿园保教质量监测体系构建研究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偏远农村初中在社会实践活动中进行创客教育的实践研究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高中学生核心素养培育与课程教学改革研究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《义务教育阶段区域推进国学教育的研究与实践》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湖南中小学校责任督学能力建设实证研究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建构校本课程体系培育普通高中学生化学学科核心素养的实践研究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基于小学生核心素养培育的“4S”课堂教学模式建构研究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发挥特级教师工作站作用优化农村初中教学模式研究——以特级教师金刚中学工作站为例</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基于中学生核心素养培育的三维课程建构与教学改革</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基于学生核心素养培育的初中课程重构与实施</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中华优秀传统文化中高中生物课程资源开发研究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中小学学生学科核心素养培育的途径与策略研究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新高考背景下湖南普通高中教育质量提升研究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中小学教师胜任力评价标准研究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互联网背景下教育舆情研究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教育精准扶贫阻断贫困代际传递的机理分析与实证研究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湖南统筹推进县域内城乡义务教育一体化改革发展研究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传统六艺在基础教育中的创造性转化与创新性发展研究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大数据时代我国高等教育智库建设研究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湖南教育精准扶贫长效机制研究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新形势下我省高校领导班子建设现状与对策研究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湖南教育系统纪检监察工作体制机制研究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青少年网络欺负的现状、影响因素与对策研究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抑郁特质大学生的自我刻板印象加工及改善研究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湖南省民办艺考培训规范发展的机制与策略研究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《高中生涯规划指导》教材的开发及实施研究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基于现代学徒制的预备员工人才培养模式研究与实践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高职院校学生职业生涯中创新创业能力培养与评价研究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乡村中职卓越教师培养路径与策略研究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我国混合所有制职业院校法人属性研究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职业院校服务湖南战略性新兴产业的政策与路径研究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“双一流”建设背景下高职专业群动态调整机制研究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2017</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职业院校服务湖南战略性新兴产业政策与路径研究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互联网+时代社会主义核心价值观融入高校艺术教育的路径与策略研究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湖南省公费定向师范生培养质量监控体系研究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武陵山片区精准扶贫与地方医药院校产学研对接研究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基于学科竞赛的大学生创客培养模式研究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武陵山区地方本科院校精准扶贫路径研究：以吉首大学为例</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“5+3”人才培养模式下临床医学专业课程体系研究与实践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地方大学五年制卓越医学人才培养优化对策研究与实践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张楚廷“隐性课程”思想研究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大数据影响下的法学教育范式转型研究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基于CFA证书的国际化金融人才培养模式研究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湖南省高中学生综合素质评价实践研究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湖南省高中学生综合素质评价实践研究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重大委托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"小学作文序列训练体系"创新研究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蔡伦文化校本课程的开发与实施</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基于五大发展理念的现代社区学校建设</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贫困县整体推进学校文化建设的实践与探索</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中小学生人格魅力与作文能力协调发展的框架建构及实证研究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民办学校在普通高中教育协调发展中的策略研究—以长沙市的民办普通高中为例</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基于学生核心素养提升的教育质量增值评价理论与实践研究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高中生涯发展指导体系构建研究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地方本科院校在乡村教师支持计划中的作为研究——以XXX学院为例</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新型城镇化背景下的民族地区教育布局研究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走向整全的人：一种生命论的教育哲学</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湖南省高校治理能力现代化建设实践研究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“三元二自”高中生涯指导课程体系建构的实践研究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基于大数据平台的智慧教育体系研究与实践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“智慧校园”建设的理论澄清与实践研究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基于价值论视角的湖南中小学足球教育推进途径与策略研究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新时期湖南省中小学校园足球发展策略研究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大学生“健身”与“修身”的耦合效应及实现机理研究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区域性推进农村校园足球教育的实践研究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高中阶段音乐剧课程体验式教学模式研究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适应《中国制造2025》技术技能人才培养研究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重大招标</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高职院校技术技能积累与创新集成研究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大湘西职业教育精准扶贫路径和评价机制研究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精准扶贫视阈下大湘西新型农民教育培养的效果评价与推进研究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社会主义核心价值观融入高职教学的“435”素质教育模式构建与实践</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湖南省现代服务业发展相契合的专业群布局战略研究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新宋体" w:hAnsi="新宋体" w:eastAsia="新宋体" w:cs="宋体"/>
                <w:color w:val="000000"/>
                <w:kern w:val="0"/>
                <w:sz w:val="20"/>
                <w:szCs w:val="20"/>
              </w:rPr>
            </w:pPr>
            <w:r>
              <w:rPr>
                <w:rFonts w:hint="eastAsia" w:ascii="新宋体" w:hAnsi="新宋体" w:eastAsia="新宋体" w:cs="宋体"/>
                <w:color w:val="000000"/>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互联网+背景下职业院校生命教育理论与实践研究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近代中国教师教育课程研究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基于罗霄山扶贫攻坚片区职业教育精准扶贫模式的实践与研究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r>
        <w:tblPrEx>
          <w:tblLayout w:type="fixed"/>
          <w:tblCellMar>
            <w:top w:w="0" w:type="dxa"/>
            <w:left w:w="108" w:type="dxa"/>
            <w:bottom w:w="0" w:type="dxa"/>
            <w:right w:w="108" w:type="dxa"/>
          </w:tblCellMar>
        </w:tblPrEx>
        <w:trPr>
          <w:trHeight w:val="20" w:hRule="atLeast"/>
        </w:trPr>
        <w:tc>
          <w:tcPr>
            <w:tcW w:w="884"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2016</w:t>
            </w:r>
          </w:p>
        </w:tc>
        <w:tc>
          <w:tcPr>
            <w:tcW w:w="5809"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幼儿园男性化教育缺失的供给侧研究</w:t>
            </w:r>
          </w:p>
        </w:tc>
        <w:tc>
          <w:tcPr>
            <w:tcW w:w="1829"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重点课题</w:t>
            </w:r>
          </w:p>
        </w:tc>
      </w:tr>
    </w:tbl>
    <w:p>
      <w:pPr>
        <w:widowControl/>
        <w:jc w:val="left"/>
        <w:rPr>
          <w:rFonts w:ascii="宋体" w:hAnsi="宋体" w:eastAsia="宋体" w:cs="宋体"/>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3A"/>
    <w:rsid w:val="000A493A"/>
    <w:rsid w:val="000E4892"/>
    <w:rsid w:val="00416B68"/>
    <w:rsid w:val="00467E89"/>
    <w:rsid w:val="00472A54"/>
    <w:rsid w:val="004F45E0"/>
    <w:rsid w:val="005F5E3E"/>
    <w:rsid w:val="006170CD"/>
    <w:rsid w:val="0062478C"/>
    <w:rsid w:val="00957551"/>
    <w:rsid w:val="009C28B6"/>
    <w:rsid w:val="009D0501"/>
    <w:rsid w:val="00A12342"/>
    <w:rsid w:val="00AD5092"/>
    <w:rsid w:val="00B573D5"/>
    <w:rsid w:val="00B71CDC"/>
    <w:rsid w:val="00CD4872"/>
    <w:rsid w:val="00D94DDC"/>
    <w:rsid w:val="00E6360A"/>
    <w:rsid w:val="00F465DA"/>
    <w:rsid w:val="00FB118B"/>
    <w:rsid w:val="6FAF3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Style w:val="6"/>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qFormat/>
    <w:uiPriority w:val="22"/>
    <w:rPr>
      <w:b/>
      <w:bCs/>
    </w:rPr>
  </w:style>
  <w:style w:type="character" w:styleId="10">
    <w:name w:val="Hyperlink"/>
    <w:semiHidden/>
    <w:unhideWhenUsed/>
    <w:uiPriority w:val="99"/>
    <w:rPr>
      <w:color w:val="0000FF"/>
      <w:u w:val="single"/>
    </w:rPr>
  </w:style>
  <w:style w:type="paragraph" w:customStyle="1" w:styleId="11">
    <w:name w:val="p0"/>
    <w:basedOn w:val="1"/>
    <w:uiPriority w:val="0"/>
    <w:pPr>
      <w:widowControl/>
    </w:pPr>
    <w:rPr>
      <w:rFonts w:ascii="Times New Roman" w:hAnsi="Times New Roman" w:eastAsia="宋体"/>
      <w:kern w:val="0"/>
      <w:szCs w:val="21"/>
    </w:rPr>
  </w:style>
  <w:style w:type="character" w:customStyle="1" w:styleId="12">
    <w:name w:val="页眉 Char"/>
    <w:link w:val="4"/>
    <w:uiPriority w:val="99"/>
    <w:rPr>
      <w:sz w:val="18"/>
      <w:szCs w:val="18"/>
    </w:rPr>
  </w:style>
  <w:style w:type="character" w:customStyle="1" w:styleId="13">
    <w:name w:val="页脚 Char"/>
    <w:link w:val="3"/>
    <w:uiPriority w:val="99"/>
    <w:rPr>
      <w:sz w:val="18"/>
      <w:szCs w:val="18"/>
    </w:rPr>
  </w:style>
  <w:style w:type="character" w:customStyle="1" w:styleId="14">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755</Words>
  <Characters>4308</Characters>
  <Lines>35</Lines>
  <Paragraphs>10</Paragraphs>
  <TotalTime>5</TotalTime>
  <ScaleCrop>false</ScaleCrop>
  <LinksUpToDate>false</LinksUpToDate>
  <CharactersWithSpaces>5053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2018-12-26T03:40:00Z</dcterms:created>
  <dc:creator>hlw</dc:creator>
  <cp:lastModifiedBy>凡人.</cp:lastModifiedBy>
  <cp:lastPrinted>2018-12-26T03:30:00Z</cp:lastPrinted>
  <dcterms:modified xsi:type="dcterms:W3CDTF">2019-07-05T08:19:46Z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