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0"/>
        </w:rPr>
      </w:pPr>
      <w:bookmarkStart w:id="0" w:name="_GoBack"/>
      <w:r>
        <w:rPr>
          <w:rFonts w:hint="eastAsia" w:ascii="黑体" w:hAnsi="黑体" w:eastAsia="黑体"/>
          <w:sz w:val="40"/>
          <w:szCs w:val="40"/>
        </w:rPr>
        <w:t>湖南省乡镇中心幼儿园及民办普惠园骨干教师</w:t>
      </w:r>
    </w:p>
    <w:p>
      <w:pPr>
        <w:jc w:val="center"/>
        <w:rPr>
          <w:rFonts w:ascii="黑体" w:hAnsi="黑体" w:eastAsia="黑体"/>
          <w:sz w:val="40"/>
          <w:szCs w:val="40"/>
        </w:rPr>
      </w:pPr>
      <w:r>
        <w:rPr>
          <w:rFonts w:hint="eastAsia" w:ascii="黑体" w:hAnsi="黑体" w:eastAsia="黑体"/>
          <w:sz w:val="40"/>
          <w:szCs w:val="40"/>
        </w:rPr>
        <w:t>工作坊研修实施方案</w:t>
      </w:r>
    </w:p>
    <w:bookmarkEnd w:id="0"/>
    <w:p>
      <w:pPr>
        <w:jc w:val="center"/>
        <w:rPr>
          <w:rFonts w:ascii="黑体" w:hAnsi="黑体" w:eastAsia="黑体"/>
          <w:sz w:val="40"/>
          <w:szCs w:val="40"/>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根据《中共中央 国务院关于全面深化新时代教师队伍建设改革的意见》（中发〔2018〕4号）、《教育部 财政部关于实施中小学幼儿园教师国家级培训计划（2021-2025年）的通知》（教师函〔2021〕4号）和《湖南省“十四五”教育事业发展规划》（湘政办发〔2021〕43号） 等文件精神，结合湖南省当地幼儿教师的实际情况，特制定此实施方案。</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一、研修目标</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1. 强化师德修养。</w:t>
      </w:r>
      <w:r>
        <w:rPr>
          <w:rFonts w:hint="eastAsia" w:ascii="仿宋" w:hAnsi="仿宋" w:eastAsia="仿宋"/>
          <w:sz w:val="28"/>
          <w:szCs w:val="28"/>
        </w:rPr>
        <w:t>引导乡镇中心幼儿园（含普惠园）骨干教师学习职业规范要求，了解幼儿发展的特点及规律，掌握心理健康调适的方法，使参训教师能够在日常教育教学工作中更好地树立“儿童为本”的教育理念，笃行立德树人的教学实践。</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2.丰富专业知识。</w:t>
      </w:r>
      <w:r>
        <w:rPr>
          <w:rFonts w:hint="eastAsia" w:ascii="仿宋" w:hAnsi="仿宋" w:eastAsia="仿宋"/>
          <w:sz w:val="28"/>
          <w:szCs w:val="28"/>
        </w:rPr>
        <w:t>掌握幼儿教育教学的基本原理，使参培教师更深入地了解儿童心理，开阔专业视野，丰富专业理论知识。</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3.提升专业技能。</w:t>
      </w:r>
      <w:r>
        <w:rPr>
          <w:rFonts w:hint="eastAsia" w:ascii="仿宋" w:hAnsi="仿宋" w:eastAsia="仿宋"/>
          <w:sz w:val="28"/>
          <w:szCs w:val="28"/>
        </w:rPr>
        <w:t>深入地了解幼儿园教育教学活动中五大领域教学活动设计与组织实施的优化策略与方法，掌握环境创设、区角活动设计的技巧，提升专业技能。</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4.增强引领辐射能力。</w:t>
      </w:r>
      <w:r>
        <w:rPr>
          <w:rFonts w:hint="eastAsia" w:ascii="仿宋" w:hAnsi="仿宋" w:eastAsia="仿宋"/>
          <w:sz w:val="28"/>
          <w:szCs w:val="28"/>
        </w:rPr>
        <w:t>提升骨干教师应该具备的基本素养，了解名师成长规律，优化班级管理和家园沟通技能，明确专业发展方向，增强引领辐射能力。</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5.提高教育信息技术现代化水平。</w:t>
      </w:r>
      <w:r>
        <w:rPr>
          <w:rFonts w:hint="eastAsia" w:ascii="仿宋" w:hAnsi="仿宋" w:eastAsia="仿宋"/>
          <w:sz w:val="28"/>
          <w:szCs w:val="28"/>
        </w:rPr>
        <w:t>掌握网络教研、常用教育研究软件应用的基本技能，提高多媒体课件制作、多媒体技术应用水平，强化信息技术与幼儿园教育教学活动的深度融合，提升教育信息技术现代化水平。</w:t>
      </w:r>
    </w:p>
    <w:p>
      <w:pPr>
        <w:spacing w:line="600" w:lineRule="exact"/>
        <w:ind w:firstLine="562" w:firstLineChars="200"/>
        <w:rPr>
          <w:rFonts w:ascii="仿宋" w:hAnsi="仿宋" w:eastAsia="仿宋"/>
          <w:sz w:val="28"/>
          <w:szCs w:val="28"/>
        </w:rPr>
      </w:pPr>
      <w:r>
        <w:rPr>
          <w:rFonts w:hint="eastAsia" w:ascii="仿宋" w:hAnsi="仿宋" w:eastAsia="仿宋"/>
          <w:b/>
          <w:sz w:val="28"/>
          <w:szCs w:val="28"/>
        </w:rPr>
        <w:t>6.提高园本课程开发能力。</w:t>
      </w:r>
      <w:r>
        <w:rPr>
          <w:rFonts w:hint="eastAsia" w:ascii="仿宋" w:hAnsi="仿宋" w:eastAsia="仿宋"/>
          <w:sz w:val="28"/>
          <w:szCs w:val="28"/>
        </w:rPr>
        <w:t>掌握园本课程开发的基本技巧，提升乡镇幼儿园教师留守儿童教育与管理、混龄班活动组织与实施能力，提升因地制宜、因班制宜的特色课程开发能力。</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二、研修对象</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湖南省在岗乡镇幼儿园（含普惠园）骨干教师。参训者应具备上网条件和网上交流的能力，培训期间平均每天不少于1小时的网络研修与交流时间。</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三、研修课时</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各市（州）、区县（市）可根据培训需求，任选某个时段组织培训，湖南省中小学教师发展网提供80学时以上网络课程资源，具体研修课时可由县市区根据实际需求决定。</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四、研修内容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本次研修内容设置“专业理念与师德”“教育理论素养”“专业知识与专业能力”“教育能力与管理能力”“信息技术与幼儿教学融合”和“园本课程案例”6 模块的课程，具体课程表附后。</w:t>
      </w:r>
    </w:p>
    <w:p>
      <w:pPr>
        <w:spacing w:line="600" w:lineRule="exact"/>
        <w:ind w:firstLine="560" w:firstLineChars="200"/>
        <w:rPr>
          <w:rFonts w:ascii="黑体" w:hAnsi="黑体" w:eastAsia="黑体"/>
          <w:sz w:val="28"/>
          <w:szCs w:val="28"/>
        </w:rPr>
      </w:pPr>
      <w:r>
        <w:rPr>
          <w:rFonts w:hint="eastAsia" w:ascii="黑体" w:hAnsi="黑体" w:eastAsia="黑体"/>
          <w:sz w:val="28"/>
          <w:szCs w:val="28"/>
        </w:rPr>
        <w:t>五、课程计划</w:t>
      </w:r>
    </w:p>
    <w:p>
      <w:pPr>
        <w:widowControl/>
        <w:jc w:val="left"/>
        <w:rPr>
          <w:rFonts w:ascii="黑体" w:hAnsi="黑体" w:eastAsia="黑体"/>
          <w:sz w:val="28"/>
          <w:szCs w:val="28"/>
        </w:rPr>
      </w:pPr>
      <w:r>
        <w:rPr>
          <w:rFonts w:ascii="黑体" w:hAnsi="黑体" w:eastAsia="黑体"/>
          <w:sz w:val="28"/>
          <w:szCs w:val="28"/>
        </w:rPr>
        <w:br w:type="page"/>
      </w:r>
    </w:p>
    <w:p>
      <w:pPr>
        <w:spacing w:line="600" w:lineRule="exact"/>
        <w:ind w:firstLine="560" w:firstLineChars="200"/>
        <w:rPr>
          <w:rFonts w:ascii="黑体" w:hAnsi="黑体" w:eastAsia="黑体"/>
          <w:sz w:val="28"/>
          <w:szCs w:val="28"/>
        </w:rPr>
      </w:pPr>
    </w:p>
    <w:tbl>
      <w:tblPr>
        <w:tblStyle w:val="4"/>
        <w:tblW w:w="9886" w:type="dxa"/>
        <w:jc w:val="center"/>
        <w:tblLayout w:type="fixed"/>
        <w:tblCellMar>
          <w:top w:w="0" w:type="dxa"/>
          <w:left w:w="108" w:type="dxa"/>
          <w:bottom w:w="0" w:type="dxa"/>
          <w:right w:w="108" w:type="dxa"/>
        </w:tblCellMar>
      </w:tblPr>
      <w:tblGrid>
        <w:gridCol w:w="2283"/>
        <w:gridCol w:w="6418"/>
        <w:gridCol w:w="1185"/>
      </w:tblGrid>
      <w:tr>
        <w:tblPrEx>
          <w:tblCellMar>
            <w:top w:w="0" w:type="dxa"/>
            <w:left w:w="108" w:type="dxa"/>
            <w:bottom w:w="0" w:type="dxa"/>
            <w:right w:w="108" w:type="dxa"/>
          </w:tblCellMar>
        </w:tblPrEx>
        <w:trPr>
          <w:trHeight w:val="408" w:hRule="atLeast"/>
          <w:tblHeader/>
          <w:jc w:val="center"/>
        </w:trPr>
        <w:tc>
          <w:tcPr>
            <w:tcW w:w="2283" w:type="dxa"/>
            <w:tcBorders>
              <w:top w:val="single" w:color="auto" w:sz="4" w:space="0"/>
              <w:left w:val="single" w:color="auto" w:sz="4" w:space="0"/>
              <w:bottom w:val="single" w:color="auto" w:sz="4" w:space="0"/>
              <w:right w:val="single" w:color="auto" w:sz="4" w:space="0"/>
            </w:tcBorders>
            <w:vAlign w:val="center"/>
          </w:tcPr>
          <w:p>
            <w:pPr>
              <w:ind w:firstLine="211" w:firstLineChars="100"/>
              <w:jc w:val="center"/>
              <w:rPr>
                <w:rFonts w:ascii="仿宋" w:hAnsi="仿宋" w:eastAsia="仿宋"/>
                <w:b/>
                <w:szCs w:val="21"/>
              </w:rPr>
            </w:pPr>
            <w:r>
              <w:rPr>
                <w:rFonts w:hint="eastAsia" w:ascii="仿宋" w:hAnsi="仿宋" w:eastAsia="仿宋"/>
                <w:b/>
                <w:szCs w:val="21"/>
              </w:rPr>
              <w:t>模块</w:t>
            </w:r>
          </w:p>
        </w:tc>
        <w:tc>
          <w:tcPr>
            <w:tcW w:w="6418" w:type="dxa"/>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ascii="仿宋" w:hAnsi="仿宋" w:eastAsia="仿宋"/>
                <w:b/>
                <w:szCs w:val="21"/>
              </w:rPr>
            </w:pPr>
            <w:r>
              <w:rPr>
                <w:rFonts w:hint="eastAsia" w:ascii="仿宋" w:hAnsi="仿宋" w:eastAsia="仿宋"/>
                <w:b/>
                <w:szCs w:val="21"/>
              </w:rPr>
              <w:t>专题</w:t>
            </w:r>
          </w:p>
        </w:tc>
        <w:tc>
          <w:tcPr>
            <w:tcW w:w="1185" w:type="dxa"/>
            <w:tcBorders>
              <w:top w:val="single" w:color="auto" w:sz="4" w:space="0"/>
              <w:left w:val="single" w:color="auto" w:sz="4" w:space="0"/>
              <w:right w:val="single" w:color="auto" w:sz="4" w:space="0"/>
            </w:tcBorders>
            <w:vAlign w:val="center"/>
          </w:tcPr>
          <w:p>
            <w:pPr>
              <w:ind w:left="-338" w:leftChars="-161" w:firstLine="422" w:firstLineChars="200"/>
              <w:jc w:val="center"/>
              <w:rPr>
                <w:rFonts w:ascii="仿宋" w:hAnsi="仿宋" w:eastAsia="仿宋"/>
                <w:b/>
                <w:szCs w:val="21"/>
              </w:rPr>
            </w:pPr>
            <w:r>
              <w:rPr>
                <w:rFonts w:hint="eastAsia" w:ascii="仿宋" w:hAnsi="仿宋" w:eastAsia="仿宋"/>
                <w:b/>
                <w:szCs w:val="21"/>
              </w:rPr>
              <w:t>课时数</w:t>
            </w:r>
          </w:p>
        </w:tc>
      </w:tr>
      <w:tr>
        <w:tblPrEx>
          <w:tblCellMar>
            <w:top w:w="0" w:type="dxa"/>
            <w:left w:w="108" w:type="dxa"/>
            <w:bottom w:w="0" w:type="dxa"/>
            <w:right w:w="108" w:type="dxa"/>
          </w:tblCellMar>
        </w:tblPrEx>
        <w:trPr>
          <w:trHeight w:val="458" w:hRule="atLeast"/>
          <w:jc w:val="center"/>
        </w:trPr>
        <w:tc>
          <w:tcPr>
            <w:tcW w:w="228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（一）</w:t>
            </w:r>
          </w:p>
          <w:p>
            <w:pPr>
              <w:jc w:val="center"/>
              <w:rPr>
                <w:rFonts w:ascii="仿宋" w:hAnsi="仿宋" w:eastAsia="仿宋" w:cs="宋体"/>
                <w:kern w:val="0"/>
                <w:szCs w:val="21"/>
              </w:rPr>
            </w:pPr>
            <w:r>
              <w:rPr>
                <w:rFonts w:hint="eastAsia" w:ascii="仿宋" w:hAnsi="仿宋" w:eastAsia="仿宋" w:cs="宋体"/>
                <w:kern w:val="0"/>
                <w:szCs w:val="21"/>
              </w:rPr>
              <w:t>专业理念与师德</w:t>
            </w: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幼儿教师职业道德修养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《幼儿教师专业标准》解读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幼儿教师专业发展与职业规划</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幼儿教师心理健康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《3-6岁儿童学习与发展指南》解读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5</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《幼儿园保育教育质量评估指南》解读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（二）</w:t>
            </w:r>
          </w:p>
          <w:p>
            <w:pPr>
              <w:jc w:val="center"/>
              <w:rPr>
                <w:rFonts w:ascii="仿宋" w:hAnsi="仿宋" w:eastAsia="仿宋" w:cs="宋体"/>
                <w:kern w:val="0"/>
                <w:szCs w:val="21"/>
              </w:rPr>
            </w:pPr>
            <w:r>
              <w:rPr>
                <w:rFonts w:hint="eastAsia" w:ascii="仿宋" w:hAnsi="仿宋" w:eastAsia="仿宋" w:cs="宋体"/>
                <w:kern w:val="0"/>
                <w:szCs w:val="21"/>
              </w:rPr>
              <w:t>教育理论素养</w:t>
            </w:r>
          </w:p>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学前儿童心理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学前教育基本原理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学前儿童卫生保健与公共卫生应急处理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幼儿园课程与教学</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幼儿园游戏与玩具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学前教育研究方法</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学前教育主要流派介绍</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园本教研的策略与方法</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学前教育名著导读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科学育儿常识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r>
              <w:rPr>
                <w:rFonts w:hint="eastAsia" w:ascii="仿宋" w:hAnsi="仿宋" w:eastAsia="仿宋" w:cs="宋体"/>
                <w:kern w:val="0"/>
                <w:szCs w:val="21"/>
              </w:rPr>
              <w:t>（三）</w:t>
            </w:r>
          </w:p>
          <w:p>
            <w:pPr>
              <w:jc w:val="center"/>
              <w:rPr>
                <w:rFonts w:ascii="仿宋" w:hAnsi="仿宋" w:eastAsia="仿宋" w:cs="宋体"/>
                <w:kern w:val="0"/>
                <w:szCs w:val="21"/>
              </w:rPr>
            </w:pPr>
            <w:r>
              <w:rPr>
                <w:rFonts w:hint="eastAsia" w:ascii="仿宋" w:hAnsi="仿宋" w:eastAsia="仿宋" w:cs="宋体"/>
                <w:kern w:val="0"/>
                <w:szCs w:val="21"/>
              </w:rPr>
              <w:t>专业知识与</w:t>
            </w:r>
          </w:p>
          <w:p>
            <w:pPr>
              <w:jc w:val="center"/>
              <w:rPr>
                <w:rFonts w:ascii="仿宋" w:hAnsi="仿宋" w:eastAsia="仿宋" w:cs="宋体"/>
                <w:kern w:val="0"/>
                <w:szCs w:val="21"/>
              </w:rPr>
            </w:pPr>
            <w:r>
              <w:rPr>
                <w:rFonts w:hint="eastAsia" w:ascii="仿宋" w:hAnsi="仿宋" w:eastAsia="仿宋" w:cs="宋体"/>
                <w:kern w:val="0"/>
                <w:szCs w:val="21"/>
              </w:rPr>
              <w:t>专业能力</w:t>
            </w: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p>
          <w:p>
            <w:pPr>
              <w:jc w:val="center"/>
              <w:rPr>
                <w:rFonts w:ascii="仿宋" w:hAnsi="仿宋" w:eastAsia="仿宋" w:cs="宋体"/>
                <w:kern w:val="0"/>
                <w:szCs w:val="21"/>
              </w:rPr>
            </w:pPr>
            <w:r>
              <w:rPr>
                <w:rFonts w:hint="eastAsia" w:ascii="仿宋" w:hAnsi="仿宋" w:eastAsia="仿宋" w:cs="宋体"/>
                <w:kern w:val="0"/>
                <w:szCs w:val="21"/>
              </w:rPr>
              <w:t>（三）</w:t>
            </w:r>
          </w:p>
          <w:p>
            <w:pPr>
              <w:jc w:val="center"/>
              <w:rPr>
                <w:rFonts w:ascii="仿宋" w:hAnsi="仿宋" w:eastAsia="仿宋" w:cs="宋体"/>
                <w:kern w:val="0"/>
                <w:szCs w:val="21"/>
              </w:rPr>
            </w:pPr>
            <w:r>
              <w:rPr>
                <w:rFonts w:hint="eastAsia" w:ascii="仿宋" w:hAnsi="仿宋" w:eastAsia="仿宋" w:cs="宋体"/>
                <w:kern w:val="0"/>
                <w:szCs w:val="21"/>
              </w:rPr>
              <w:t>专业知识与</w:t>
            </w:r>
          </w:p>
          <w:p>
            <w:pPr>
              <w:jc w:val="center"/>
              <w:rPr>
                <w:rFonts w:ascii="仿宋" w:hAnsi="仿宋" w:eastAsia="仿宋" w:cs="宋体"/>
                <w:kern w:val="0"/>
                <w:szCs w:val="21"/>
              </w:rPr>
            </w:pPr>
            <w:r>
              <w:rPr>
                <w:rFonts w:hint="eastAsia" w:ascii="仿宋" w:hAnsi="仿宋" w:eastAsia="仿宋" w:cs="宋体"/>
                <w:kern w:val="0"/>
                <w:szCs w:val="21"/>
              </w:rPr>
              <w:t>专业能力</w:t>
            </w:r>
          </w:p>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学前教育发展现状与趋势</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各领域教材教法分析与组织实施(语言、健康、社会、科学、艺术)</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5</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幼儿园健康教育目标的制订及实施策略</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学前儿童文学语言核心经验的解读</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幼儿科学教育素材选择与分析</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幼儿园音乐（歌唱）活动中歌曲选择与分析</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幼儿园美术活动素材的分析与运用</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幼儿美术欣赏活动的设计与组织</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研究性教学反思</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学前儿童行为观察与记录</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幼儿园环境创设与利用</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幼儿体操编排、幼儿舞蹈创编、儿童剧指导</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3</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幼儿园班级保育工作应知应会</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各领域教学设计与教学方法研修（(语言、健康、社会、科学、艺术)</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5</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一日生活的组织</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458" w:hRule="atLeast"/>
          <w:jc w:val="center"/>
        </w:trPr>
        <w:tc>
          <w:tcPr>
            <w:tcW w:w="2283"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幼儿园亲子活动组织与实施策略</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科学做好幼小衔接</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3</w:t>
            </w:r>
          </w:p>
        </w:tc>
      </w:tr>
      <w:tr>
        <w:tblPrEx>
          <w:tblCellMar>
            <w:top w:w="0" w:type="dxa"/>
            <w:left w:w="108" w:type="dxa"/>
            <w:bottom w:w="0" w:type="dxa"/>
            <w:right w:w="108" w:type="dxa"/>
          </w:tblCellMar>
        </w:tblPrEx>
        <w:trPr>
          <w:trHeight w:val="458" w:hRule="atLeast"/>
          <w:jc w:val="center"/>
        </w:trPr>
        <w:tc>
          <w:tcPr>
            <w:tcW w:w="228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幼儿游戏组织与指导（建构游戏、体育游戏、表演游戏、区角游戏）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5</w:t>
            </w:r>
          </w:p>
        </w:tc>
      </w:tr>
      <w:tr>
        <w:tblPrEx>
          <w:tblCellMar>
            <w:top w:w="0" w:type="dxa"/>
            <w:left w:w="108" w:type="dxa"/>
            <w:bottom w:w="0" w:type="dxa"/>
            <w:right w:w="108" w:type="dxa"/>
          </w:tblCellMar>
        </w:tblPrEx>
        <w:trPr>
          <w:trHeight w:val="527" w:hRule="atLeast"/>
          <w:jc w:val="center"/>
        </w:trPr>
        <w:tc>
          <w:tcPr>
            <w:tcW w:w="22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（四）</w:t>
            </w:r>
          </w:p>
          <w:p>
            <w:pPr>
              <w:jc w:val="center"/>
              <w:rPr>
                <w:rFonts w:ascii="仿宋" w:hAnsi="仿宋" w:eastAsia="仿宋" w:cs="宋体"/>
                <w:kern w:val="0"/>
                <w:szCs w:val="21"/>
              </w:rPr>
            </w:pPr>
            <w:r>
              <w:rPr>
                <w:rFonts w:hint="eastAsia" w:ascii="仿宋" w:hAnsi="仿宋" w:eastAsia="仿宋" w:cs="宋体"/>
                <w:kern w:val="0"/>
                <w:szCs w:val="21"/>
              </w:rPr>
              <w:t>教育能力与</w:t>
            </w:r>
          </w:p>
          <w:p>
            <w:pPr>
              <w:jc w:val="center"/>
              <w:rPr>
                <w:rFonts w:ascii="仿宋" w:hAnsi="仿宋" w:eastAsia="仿宋" w:cs="宋体"/>
                <w:kern w:val="0"/>
                <w:szCs w:val="21"/>
              </w:rPr>
            </w:pPr>
            <w:r>
              <w:rPr>
                <w:rFonts w:hint="eastAsia" w:ascii="仿宋" w:hAnsi="仿宋" w:eastAsia="仿宋" w:cs="宋体"/>
                <w:kern w:val="0"/>
                <w:szCs w:val="21"/>
              </w:rPr>
              <w:t>管理能力</w:t>
            </w: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名师成长路径与教学风格研究</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幼儿园班级管理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幼儿园班级管理---家园工作</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消除信任危机，形成家园合力</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幼儿园家长工作</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幼儿个别教育</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名优班主任典型个案</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家庭教育指导</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幼儿心理健康教育</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（五）</w:t>
            </w:r>
          </w:p>
          <w:p>
            <w:pPr>
              <w:jc w:val="center"/>
              <w:rPr>
                <w:rFonts w:ascii="仿宋" w:hAnsi="仿宋" w:eastAsia="仿宋" w:cs="宋体"/>
                <w:kern w:val="0"/>
                <w:szCs w:val="21"/>
              </w:rPr>
            </w:pPr>
            <w:r>
              <w:rPr>
                <w:rFonts w:hint="eastAsia" w:ascii="仿宋" w:hAnsi="仿宋" w:eastAsia="仿宋" w:cs="宋体"/>
                <w:kern w:val="0"/>
                <w:szCs w:val="21"/>
              </w:rPr>
              <w:t>信息技术与</w:t>
            </w:r>
          </w:p>
          <w:p>
            <w:pPr>
              <w:jc w:val="center"/>
              <w:rPr>
                <w:rFonts w:ascii="仿宋" w:hAnsi="仿宋" w:eastAsia="仿宋" w:cs="宋体"/>
                <w:kern w:val="0"/>
                <w:szCs w:val="21"/>
              </w:rPr>
            </w:pPr>
            <w:r>
              <w:rPr>
                <w:rFonts w:hint="eastAsia" w:ascii="仿宋" w:hAnsi="仿宋" w:eastAsia="仿宋" w:cs="宋体"/>
                <w:kern w:val="0"/>
                <w:szCs w:val="21"/>
              </w:rPr>
              <w:t>幼儿教学融合</w:t>
            </w: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学前教育研究常用统计软件</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幼儿园多媒体教学应用</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教学课件制作</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nil"/>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网络教研与教学博客</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（六）</w:t>
            </w:r>
          </w:p>
          <w:p>
            <w:pPr>
              <w:jc w:val="center"/>
              <w:rPr>
                <w:rFonts w:ascii="仿宋" w:hAnsi="仿宋" w:eastAsia="仿宋" w:cs="宋体"/>
                <w:kern w:val="0"/>
                <w:szCs w:val="21"/>
              </w:rPr>
            </w:pPr>
            <w:r>
              <w:rPr>
                <w:rFonts w:hint="eastAsia" w:ascii="仿宋" w:hAnsi="仿宋" w:eastAsia="仿宋" w:cs="宋体"/>
                <w:kern w:val="0"/>
                <w:szCs w:val="21"/>
              </w:rPr>
              <w:t>园本课程案例</w:t>
            </w: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走班混龄区域活动组织与实施</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中国传统节日文化在幼儿园教育教学中的运用</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幼儿园体育区域活动的组织与实施</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早期阅读环境创设与实施</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r>
        <w:tblPrEx>
          <w:tblCellMar>
            <w:top w:w="0" w:type="dxa"/>
            <w:left w:w="108" w:type="dxa"/>
            <w:bottom w:w="0" w:type="dxa"/>
            <w:right w:w="108" w:type="dxa"/>
          </w:tblCellMar>
        </w:tblPrEx>
        <w:trPr>
          <w:trHeight w:val="527" w:hRule="atLeast"/>
          <w:jc w:val="center"/>
        </w:trPr>
        <w:tc>
          <w:tcPr>
            <w:tcW w:w="2283" w:type="dxa"/>
            <w:vMerge w:val="continue"/>
            <w:tcBorders>
              <w:left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乡镇幼儿园留守儿童的教育与管理</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2</w:t>
            </w:r>
          </w:p>
        </w:tc>
      </w:tr>
      <w:tr>
        <w:tblPrEx>
          <w:tblCellMar>
            <w:top w:w="0" w:type="dxa"/>
            <w:left w:w="108" w:type="dxa"/>
            <w:bottom w:w="0" w:type="dxa"/>
            <w:right w:w="108" w:type="dxa"/>
          </w:tblCellMar>
        </w:tblPrEx>
        <w:trPr>
          <w:trHeight w:val="527" w:hRule="atLeast"/>
          <w:jc w:val="center"/>
        </w:trPr>
        <w:tc>
          <w:tcPr>
            <w:tcW w:w="2283"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p>
        </w:tc>
        <w:tc>
          <w:tcPr>
            <w:tcW w:w="6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园本教研</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1</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Dk4M2ZlZThlZGMwMTgzNDgzYjY2MWUxZTgyZDQifQ=="/>
  </w:docVars>
  <w:rsids>
    <w:rsidRoot w:val="00EB0DB5"/>
    <w:rsid w:val="002B5520"/>
    <w:rsid w:val="00310FF5"/>
    <w:rsid w:val="004972EE"/>
    <w:rsid w:val="005E755D"/>
    <w:rsid w:val="0079104D"/>
    <w:rsid w:val="0082773D"/>
    <w:rsid w:val="009A11B2"/>
    <w:rsid w:val="009E495B"/>
    <w:rsid w:val="00A07A59"/>
    <w:rsid w:val="00BE711D"/>
    <w:rsid w:val="00EB0DB5"/>
    <w:rsid w:val="00F160B0"/>
    <w:rsid w:val="00F94D37"/>
    <w:rsid w:val="3F42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296</Words>
  <Characters>1691</Characters>
  <Lines>14</Lines>
  <Paragraphs>3</Paragraphs>
  <TotalTime>10</TotalTime>
  <ScaleCrop>false</ScaleCrop>
  <LinksUpToDate>false</LinksUpToDate>
  <CharactersWithSpaces>1984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2023-05-30T01:46:00Z</dcterms:created>
  <dc:creator>颜 娴静</dc:creator>
  <cp:lastModifiedBy>Administrator</cp:lastModifiedBy>
  <dcterms:modified xsi:type="dcterms:W3CDTF">2023-11-27T02:13:12Z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E73B5B1C4F104162B88C584A80BA9A63_12</vt:lpwstr>
  </property>
</Properties>
</file>