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1C36">
      <w:pPr>
        <w:widowControl/>
        <w:shd w:val="clear" w:color="auto" w:fill="FFFFFF"/>
        <w:spacing w:line="520" w:lineRule="exact"/>
        <w:jc w:val="center"/>
        <w:outlineLvl w:val="2"/>
        <w:rPr>
          <w:rFonts w:hint="eastAsia" w:ascii="微软雅黑" w:hAnsi="微软雅黑" w:eastAsia="微软雅黑" w:cs="微软雅黑"/>
          <w:bCs/>
          <w:color w:val="0F1115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color w:val="0F1115"/>
          <w:kern w:val="0"/>
          <w:sz w:val="36"/>
          <w:szCs w:val="36"/>
          <w:u w:val="single"/>
          <w:lang w:eastAsia="zh-CN"/>
        </w:rPr>
        <w:t>浏阳院区内部维修改造二期工程项目监理</w:t>
      </w:r>
      <w:r>
        <w:rPr>
          <w:rFonts w:hint="eastAsia" w:ascii="微软雅黑" w:hAnsi="微软雅黑" w:eastAsia="微软雅黑" w:cs="微软雅黑"/>
          <w:bCs/>
          <w:color w:val="0F1115"/>
          <w:kern w:val="0"/>
          <w:sz w:val="36"/>
          <w:szCs w:val="36"/>
          <w:u w:val="single"/>
        </w:rPr>
        <w:t>项目</w:t>
      </w:r>
      <w:r>
        <w:rPr>
          <w:rFonts w:hint="eastAsia" w:ascii="微软雅黑" w:hAnsi="微软雅黑" w:eastAsia="微软雅黑" w:cs="微软雅黑"/>
          <w:bCs/>
          <w:color w:val="0F1115"/>
          <w:kern w:val="0"/>
          <w:sz w:val="36"/>
          <w:szCs w:val="36"/>
          <w:lang w:val="en-US" w:eastAsia="zh-CN"/>
        </w:rPr>
        <w:t>比价</w:t>
      </w:r>
      <w:r>
        <w:rPr>
          <w:rFonts w:hint="eastAsia" w:ascii="微软雅黑" w:hAnsi="微软雅黑" w:eastAsia="微软雅黑" w:cs="微软雅黑"/>
          <w:bCs/>
          <w:color w:val="0F1115"/>
          <w:kern w:val="0"/>
          <w:sz w:val="36"/>
          <w:szCs w:val="36"/>
        </w:rPr>
        <w:t>需求</w:t>
      </w:r>
    </w:p>
    <w:p w14:paraId="03ADD8FD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</w:p>
    <w:p w14:paraId="7B1B5A1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</w:p>
    <w:p w14:paraId="4FB4126F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一、项目基本情况</w:t>
      </w:r>
    </w:p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7418"/>
      </w:tblGrid>
      <w:tr w14:paraId="2844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58ED8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15D2CD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eastAsia="zh-CN"/>
              </w:rPr>
              <w:t>浏阳院区内部维修改造二期工程项目监理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】</w:t>
            </w:r>
          </w:p>
        </w:tc>
      </w:tr>
      <w:tr w14:paraId="375F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317EC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99113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 _______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56000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_________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 ______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eastAsia="zh-CN"/>
              </w:rPr>
              <w:t>伍万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陆仟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整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____________</w:t>
            </w:r>
          </w:p>
        </w:tc>
      </w:tr>
      <w:tr w14:paraId="570D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16719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合同履行期限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ECF8AF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自成交通知书发出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并签订合同项目开工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之日起【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】个日历日内完成交付、安装调试并通过验收。</w:t>
            </w:r>
          </w:p>
        </w:tc>
      </w:tr>
    </w:tbl>
    <w:p w14:paraId="169B9320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二、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资格要求</w:t>
      </w:r>
    </w:p>
    <w:p w14:paraId="6968015F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满足《中华人民共和国政府采购法》第二十二条规定；</w:t>
      </w:r>
    </w:p>
    <w:p w14:paraId="5609960B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b w:val="0"/>
          <w:bCs w:val="0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本项目的特定资格要求：</w:t>
      </w:r>
      <w:r>
        <w:rPr>
          <w:rFonts w:ascii="Times New Roman" w:hAnsi="Times New Roman" w:eastAsia="宋体" w:cs="Segoe UI"/>
          <w:b w:val="0"/>
          <w:bCs w:val="0"/>
          <w:color w:val="0F1115"/>
          <w:kern w:val="0"/>
          <w:sz w:val="24"/>
          <w:szCs w:val="24"/>
        </w:rPr>
        <w:t>（</w:t>
      </w:r>
      <w:r>
        <w:rPr>
          <w:rFonts w:hint="eastAsia" w:ascii="Times New Roman" w:hAnsi="Times New Roman" w:eastAsia="宋体" w:cs="Segoe UI"/>
          <w:b w:val="0"/>
          <w:bCs w:val="0"/>
          <w:color w:val="0F1115"/>
          <w:kern w:val="0"/>
          <w:sz w:val="24"/>
          <w:szCs w:val="24"/>
          <w:lang w:val="en-US" w:eastAsia="zh-CN"/>
        </w:rPr>
        <w:t>房屋建筑工程监理乙级资质</w:t>
      </w:r>
      <w:r>
        <w:rPr>
          <w:rFonts w:ascii="Times New Roman" w:hAnsi="Times New Roman" w:eastAsia="宋体" w:cs="Segoe UI"/>
          <w:b w:val="0"/>
          <w:bCs w:val="0"/>
          <w:color w:val="0F1115"/>
          <w:kern w:val="0"/>
          <w:sz w:val="24"/>
          <w:szCs w:val="24"/>
        </w:rPr>
        <w:t>）</w:t>
      </w:r>
    </w:p>
    <w:p w14:paraId="20E913EB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信用中国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”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网站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（</w:t>
      </w:r>
      <w:r>
        <w:fldChar w:fldCharType="begin"/>
      </w:r>
      <w:r>
        <w:instrText xml:space="preserve"> HYPERLINK "https://www.creditchina.gov.cn/"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www.creditchina.gov.cn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列入重大税收违法失信主体、被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中国政府采购网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”（</w:t>
      </w:r>
      <w:r>
        <w:fldChar w:fldCharType="begin"/>
      </w:r>
      <w:r>
        <w:instrText xml:space="preserve"> HYPERLINK "https://www.ccgp.gov.cn/"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www.ccgp.gov.cn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列入政府采购严重违法失信行为记录名单的供应商，不得参与本项目。</w:t>
      </w:r>
    </w:p>
    <w:p w14:paraId="309A3505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三、采购需求清单</w:t>
      </w:r>
    </w:p>
    <w:p w14:paraId="26F0D902">
      <w:pPr>
        <w:widowControl/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3.1 货物类采购需求清单（示例）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1853"/>
        <w:gridCol w:w="2972"/>
        <w:gridCol w:w="1393"/>
        <w:gridCol w:w="1240"/>
        <w:gridCol w:w="1135"/>
      </w:tblGrid>
      <w:tr w14:paraId="2FB8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C1F38D">
            <w:pPr>
              <w:spacing w:line="320" w:lineRule="exact"/>
              <w:ind w:right="-210" w:rightChars="-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A92930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品目名称</w:t>
            </w:r>
          </w:p>
        </w:tc>
        <w:tc>
          <w:tcPr>
            <w:tcW w:w="2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D07695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详细技术参数、</w:t>
            </w:r>
          </w:p>
          <w:p w14:paraId="139DDC6D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规格及性能要求</w:t>
            </w:r>
          </w:p>
        </w:tc>
        <w:tc>
          <w:tcPr>
            <w:tcW w:w="1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1DF33D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购买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40" w:type="dxa"/>
            <w:vAlign w:val="center"/>
          </w:tcPr>
          <w:p w14:paraId="2158E44E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控制</w:t>
            </w:r>
          </w:p>
          <w:p w14:paraId="6A29F2F6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1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93EBE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意向品牌</w:t>
            </w:r>
          </w:p>
        </w:tc>
      </w:tr>
      <w:tr w14:paraId="0194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5300A">
            <w:pPr>
              <w:spacing w:line="320" w:lineRule="exact"/>
              <w:ind w:right="-210" w:righ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8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0DB9A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【品目名称】</w:t>
            </w:r>
          </w:p>
        </w:tc>
        <w:tc>
          <w:tcPr>
            <w:tcW w:w="2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59956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（请在此处详细、无歧义地列明所有技术和服务要求）</w:t>
            </w:r>
          </w:p>
        </w:tc>
        <w:tc>
          <w:tcPr>
            <w:tcW w:w="1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82B6C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【数量】</w:t>
            </w:r>
          </w:p>
        </w:tc>
        <w:tc>
          <w:tcPr>
            <w:tcW w:w="1240" w:type="dxa"/>
            <w:vAlign w:val="center"/>
          </w:tcPr>
          <w:p w14:paraId="4048A482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D68409">
            <w:pPr>
              <w:spacing w:line="320" w:lineRule="exact"/>
              <w:ind w:left="-210" w:lef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A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】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【B】</w:t>
            </w:r>
          </w:p>
        </w:tc>
      </w:tr>
      <w:tr w14:paraId="2DE2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548F58">
            <w:pPr>
              <w:spacing w:line="320" w:lineRule="exact"/>
              <w:ind w:right="-210" w:righ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…</w:t>
            </w:r>
          </w:p>
        </w:tc>
        <w:tc>
          <w:tcPr>
            <w:tcW w:w="18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BF251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BF4FA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1F5B5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4CC0741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3F3508">
            <w:pPr>
              <w:spacing w:line="320" w:lineRule="exact"/>
              <w:ind w:left="-210" w:lef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 w14:paraId="28549562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3.2 服务/工程类采购需求清单（示例）</w:t>
      </w: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2328"/>
        <w:gridCol w:w="3726"/>
        <w:gridCol w:w="1038"/>
        <w:gridCol w:w="1551"/>
      </w:tblGrid>
      <w:tr w14:paraId="1194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7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F3AA71">
            <w:pPr>
              <w:spacing w:line="320" w:lineRule="exact"/>
              <w:ind w:right="-210" w:rightChars="-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DE8E39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服务/工程名称</w:t>
            </w:r>
          </w:p>
        </w:tc>
        <w:tc>
          <w:tcPr>
            <w:tcW w:w="37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308B5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详细服务内容、标准及成果要求</w:t>
            </w:r>
          </w:p>
        </w:tc>
        <w:tc>
          <w:tcPr>
            <w:tcW w:w="1038" w:type="dxa"/>
            <w:vAlign w:val="center"/>
          </w:tcPr>
          <w:p w14:paraId="7B27A958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控制</w:t>
            </w:r>
          </w:p>
          <w:p w14:paraId="0AC51D0B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1E617"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服务期/工期</w:t>
            </w:r>
          </w:p>
        </w:tc>
      </w:tr>
      <w:tr w14:paraId="6C15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4B6A9">
            <w:pPr>
              <w:spacing w:line="320" w:lineRule="exact"/>
              <w:ind w:right="-210" w:righ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23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02FBB">
            <w:pPr>
              <w:spacing w:line="320" w:lineRule="exact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eastAsia="zh-CN"/>
              </w:rPr>
              <w:t>浏阳院区内部维修改造二期工【程项目监理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】</w:t>
            </w:r>
          </w:p>
        </w:tc>
        <w:tc>
          <w:tcPr>
            <w:tcW w:w="37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7C341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工程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内容</w:t>
            </w:r>
          </w:p>
          <w:p w14:paraId="0B296E6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Chars="0" w:right="0" w:rightChars="0"/>
              <w:textAlignment w:val="auto"/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本工程为湖南省教育考试院浏阳院区内部维修改造工程二期项目,主要</w:t>
            </w:r>
            <w:r>
              <w:rPr>
                <w:rStyle w:val="5"/>
                <w:rFonts w:hint="eastAsia" w:ascii="国标仿宋" w:hAnsi="国标仿宋" w:eastAsia="国标仿宋" w:cs="国标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改造内容为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浏阳院区3号楼走道、外墙、檐口维修改造及贵宾楼室内、走道、外墙、檐口、天沟及卫生间、屋面防水和专家1号楼、专家2号楼室内维修、围墙维修改造</w:t>
            </w: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40C306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工程预算</w:t>
            </w:r>
          </w:p>
          <w:p w14:paraId="54571DB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Chars="0" w:right="0" w:rightChars="0"/>
              <w:textAlignment w:val="auto"/>
              <w:rPr>
                <w:rStyle w:val="5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190万元</w:t>
            </w:r>
          </w:p>
          <w:p w14:paraId="4BCD8A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三、服务内容</w:t>
            </w:r>
          </w:p>
          <w:p w14:paraId="0BB4D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对施工质量、进度、投资进行全过程控制，履行安全生产监督管理及合同管理职责。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审核施工方案、工程变更与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工程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款支付，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参与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隐蔽验收、分部分项及竣工验收。</w:t>
            </w:r>
          </w:p>
          <w:p w14:paraId="048276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四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、服务标准</w:t>
            </w:r>
          </w:p>
          <w:p w14:paraId="505C93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严格依据国家现行监理规范、设计文件、施工合同及本项目监理合同执行。确保施工过程合规、质量达标、资料完整、投资受控。</w:t>
            </w:r>
          </w:p>
          <w:p w14:paraId="65FE2C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五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、人员配置与要求</w:t>
            </w:r>
          </w:p>
          <w:p w14:paraId="7EECF6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Style w:val="5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人员配置：</w:t>
            </w:r>
            <w:r>
              <w:rPr>
                <w:rStyle w:val="5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需配置一名总监一名专业监理工程师（土建专业）。</w:t>
            </w:r>
          </w:p>
          <w:p w14:paraId="719AF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驻场要求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：项目监理部须保证至少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名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监理人员常驻现场。</w:t>
            </w:r>
          </w:p>
          <w:p w14:paraId="4F84D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人员资格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：监理工程师须持有国家监理工程师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执业资格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证书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及高级职称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（土建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专业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）。</w:t>
            </w:r>
          </w:p>
          <w:p w14:paraId="41C55D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工作纪律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：监理人员须恪守职业道德，保持公正、独立，不得与施工方存在利益关系；遵守考勤与请假制度，确保服务时间；定期向建设单位报告工作。</w:t>
            </w:r>
          </w:p>
          <w:p w14:paraId="7FE60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六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、成果要求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按时提交监理规划、实施细则、会议纪要、监理月报、质量评估报告及完整的监理档案资料。最终提供符合归档要求的全套监理工作资料。</w:t>
            </w:r>
          </w:p>
        </w:tc>
        <w:tc>
          <w:tcPr>
            <w:tcW w:w="1038" w:type="dxa"/>
            <w:vAlign w:val="center"/>
          </w:tcPr>
          <w:p w14:paraId="2C5F48A9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56000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D1D2F">
            <w:pPr>
              <w:spacing w:line="320" w:lineRule="exact"/>
              <w:ind w:left="-210" w:lef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50日历天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】</w:t>
            </w:r>
          </w:p>
        </w:tc>
      </w:tr>
      <w:tr w14:paraId="5678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EF51D9">
            <w:pPr>
              <w:spacing w:line="320" w:lineRule="exact"/>
              <w:ind w:right="-210" w:rightChars="-100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23ED3E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7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511D39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0DAC1EF">
            <w:pPr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4EF0CD">
            <w:pPr>
              <w:spacing w:line="320" w:lineRule="exact"/>
              <w:ind w:left="-210" w:leftChars="-10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 w14:paraId="23EC112B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四、 商务要求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7611"/>
      </w:tblGrid>
      <w:tr w14:paraId="009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B5FA9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商务条款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1A358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具体要求</w:t>
            </w:r>
          </w:p>
        </w:tc>
      </w:tr>
      <w:tr w14:paraId="3F09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A912F0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交货/完成地点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4869A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【湖南省教育考试院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浏阳院区（浏阳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永安区丰裕村）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】</w:t>
            </w:r>
          </w:p>
        </w:tc>
      </w:tr>
      <w:tr w14:paraId="7B86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BA54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交货/完成时限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AFDB8C">
            <w:pPr>
              <w:spacing w:line="3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自成交通知书发出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并签订合同项目开工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之日起【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】个日历日内完成交付、安装调试并通过验收。</w:t>
            </w:r>
          </w:p>
        </w:tc>
      </w:tr>
      <w:tr w14:paraId="4CD4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F90CB2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付款方式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68F6E2">
            <w:pPr>
              <w:spacing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44"/>
                <w:szCs w:val="44"/>
                <w:lang w:eastAsia="zh-CN"/>
              </w:rPr>
              <w:t>☑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一次性付款：项目验收合格后，采购人收到供应商开具的合法有效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全额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发票后 【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】 个工作日内支付全部合同款项。</w:t>
            </w:r>
            <w:r>
              <w:rPr>
                <w:rFonts w:ascii="Times New Roman" w:hAnsi="Times New Roman" w:eastAsia="宋体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分期付款：合同签订生效后，采购人收到供应商开具的合法有效的发票后 【   】 个工作日内向供应商支付合同总额的 【   】 %（原则上不高于30%），即人民币 【   】 元作为预付款。项目交付/完工并经采购人最终验收合格后，采购人收到供应商开具的合法有效的发票后 【   】 个工作日内，支付合同剩余 【   】 %，即人民币 【   】 元。</w:t>
            </w:r>
          </w:p>
        </w:tc>
      </w:tr>
      <w:tr w14:paraId="32E8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A034B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质量保证期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6050DA">
            <w:pPr>
              <w:spacing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货物类：自最终验收合格之日起，提供不少于 【   】 年质保期。</w:t>
            </w:r>
          </w:p>
          <w:p w14:paraId="1DB7A366">
            <w:pPr>
              <w:spacing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服务类：自服务验收合格之日起，提供不少于 【    】 年的质量保证期。</w:t>
            </w:r>
          </w:p>
          <w:p w14:paraId="63DD1129">
            <w:pPr>
              <w:spacing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工程类：按照国务院《建设工程质量管理条例》执行。</w:t>
            </w:r>
          </w:p>
        </w:tc>
      </w:tr>
      <w:tr w14:paraId="347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DB895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保密要求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8F2B0E">
            <w:pPr>
              <w:spacing w:line="300" w:lineRule="exact"/>
              <w:rPr>
                <w:rFonts w:ascii="Times New Roman" w:hAnsi="Times New Roman" w:eastAsia="宋体"/>
                <w:sz w:val="44"/>
                <w:szCs w:val="4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采购人单位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具有一定的涉密性质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，供应商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对于接触到的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采购人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任何未公开的信息、资料及工作内容，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供应商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均负有严格的保密义务。</w:t>
            </w:r>
          </w:p>
        </w:tc>
      </w:tr>
    </w:tbl>
    <w:p w14:paraId="22492FF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五、验收要求</w:t>
      </w:r>
    </w:p>
    <w:p w14:paraId="6CC2557F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验收依据：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以采购需求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、合同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、国家/行业标准及供应商响应文件为准。</w:t>
      </w:r>
    </w:p>
    <w:p w14:paraId="7656D482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验收时限：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采购人在收到供应商书面验收申请后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个工作日内组织验收。</w:t>
      </w:r>
    </w:p>
    <w:p w14:paraId="7C23644D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3．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验收结论：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验收不合格的，供应商须在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个工作日内完成整改。</w:t>
      </w:r>
    </w:p>
    <w:p w14:paraId="4C4AF3C4">
      <w:pPr>
        <w:shd w:val="clear" w:color="auto" w:fill="FFFFFF"/>
        <w:overflowPunct w:val="0"/>
        <w:topLinePunct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六、违约责任</w:t>
      </w:r>
    </w:p>
    <w:p w14:paraId="7276892E">
      <w:pPr>
        <w:widowControl/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（一）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采购人违约责任</w:t>
      </w:r>
    </w:p>
    <w:p w14:paraId="4879A7E4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采购人未按本合同约定的付款方式和期限支付款项的，每逾期一日，应按逾期支付金额的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  <w:u w:val="single"/>
        </w:rPr>
        <w:t>万分之五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向供应商支付违约金。</w:t>
      </w:r>
    </w:p>
    <w:p w14:paraId="7E2AAB2B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spacing w:val="-4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2．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szCs w:val="24"/>
        </w:rPr>
        <w:t>采购人无正当理由逾期付款超过 </w:t>
      </w:r>
      <w:r>
        <w:rPr>
          <w:rFonts w:ascii="Times New Roman" w:hAnsi="Times New Roman" w:eastAsia="宋体" w:cs="Segoe UI"/>
          <w:b/>
          <w:bCs/>
          <w:color w:val="0F1115"/>
          <w:spacing w:val="-4"/>
          <w:kern w:val="0"/>
          <w:sz w:val="24"/>
          <w:szCs w:val="24"/>
          <w:u w:val="single"/>
        </w:rPr>
        <w:t>30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szCs w:val="24"/>
        </w:rPr>
        <w:t>日的，供应商有权书面通知采购人后解除合同。</w:t>
      </w:r>
    </w:p>
    <w:p w14:paraId="45F58C8D">
      <w:pPr>
        <w:widowControl/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（二）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供应商违约责任</w:t>
      </w:r>
    </w:p>
    <w:p w14:paraId="781DE7D8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供应商逾期交付/完工的，每逾期一日，应向采购人支付合同总金额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  <w:u w:val="single"/>
        </w:rPr>
        <w:t>千分之三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的违约金。</w:t>
      </w:r>
    </w:p>
    <w:p w14:paraId="2E543584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供应商交付的货物或服务不符合合同约定的，采购人有权要求退货、换货、降价处理或解除合同，并由供应商承担由此给采购人造成的全部损失。</w:t>
      </w:r>
    </w:p>
    <w:p w14:paraId="6F95E018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若供应商违反保密义务，应向采购人支付合同总金额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  <w:u w:val="single"/>
        </w:rPr>
        <w:t>20%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的违约金，并赔偿因此给采购人造成的全部损失。采购人同时有权单方解除本合同。</w:t>
      </w:r>
    </w:p>
    <w:p w14:paraId="63C2DC12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4．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供应商有上述第1、2项违约行为，且逾期超过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  <w:u w:val="single"/>
        </w:rPr>
        <w:t>15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日或经采购人催告后仍未能纠正违约行为的，采购人有权单方解除合同。</w:t>
      </w:r>
    </w:p>
    <w:p w14:paraId="047AE439">
      <w:pPr>
        <w:widowControl/>
        <w:shd w:val="clear" w:color="auto" w:fill="FFFFFF"/>
        <w:spacing w:line="520" w:lineRule="exact"/>
        <w:ind w:left="210" w:leftChars="100" w:firstLine="241" w:firstLineChars="100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（三）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通用违约责任</w:t>
      </w:r>
    </w:p>
    <w:p w14:paraId="45819959">
      <w:pPr>
        <w:widowControl/>
        <w:shd w:val="clear" w:color="auto" w:fill="FFFFFF"/>
        <w:spacing w:line="520" w:lineRule="exact"/>
        <w:ind w:left="210" w:leftChars="100" w:firstLine="480" w:firstLineChars="200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任何一方无正当理由解除合同或违反合同其他根本约定的，应向守约方支付合同总金额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  <w:u w:val="single"/>
        </w:rPr>
        <w:t>10%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的违约金；若违约金不足以弥补守约方损失的，违约方还应赔偿其全部损失（包括但不限于直接经济损失、维权所需的律师费、诉讼费、保全费等）。</w:t>
      </w:r>
    </w:p>
    <w:p w14:paraId="3CC0ADED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七、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获取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  <w:lang w:eastAsia="zh-CN"/>
        </w:rPr>
        <w:t>比价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文件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时间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198"/>
      </w:tblGrid>
      <w:tr w14:paraId="2D50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D36B6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8C740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日 至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年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 月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11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日（北京时间）</w:t>
            </w:r>
          </w:p>
        </w:tc>
      </w:tr>
      <w:tr w14:paraId="5A6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5DDAF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地点/方式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263287">
            <w:pPr>
              <w:widowControl/>
              <w:spacing w:line="520" w:lineRule="exact"/>
              <w:jc w:val="left"/>
              <w:rPr>
                <w:rFonts w:hint="default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网上下载</w:t>
            </w:r>
          </w:p>
        </w:tc>
      </w:tr>
    </w:tbl>
    <w:p w14:paraId="74DAB852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八、 响应文件提交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截止时间及评审时间</w:t>
      </w:r>
    </w:p>
    <w:tbl>
      <w:tblPr>
        <w:tblStyle w:val="3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191"/>
      </w:tblGrid>
      <w:tr w14:paraId="216A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E1FF9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D4270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 日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u w:val="single"/>
                <w:lang w:val="en-US" w:eastAsia="zh-CN"/>
              </w:rPr>
              <w:t>09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时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00</w:t>
            </w:r>
            <w:r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  <w:t> 分（北京时间）</w:t>
            </w:r>
          </w:p>
        </w:tc>
      </w:tr>
      <w:tr w14:paraId="62D2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FE017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  <w:szCs w:val="24"/>
              </w:rPr>
              <w:t>地点/方式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248A1B">
            <w:pPr>
              <w:widowControl/>
              <w:spacing w:line="520" w:lineRule="exact"/>
              <w:jc w:val="left"/>
              <w:rPr>
                <w:rFonts w:hint="default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  <w:szCs w:val="24"/>
                <w:lang w:val="en-US" w:eastAsia="zh-CN"/>
              </w:rPr>
              <w:t>湖南省教育考试院综合楼三楼二会议室</w:t>
            </w:r>
          </w:p>
        </w:tc>
      </w:tr>
    </w:tbl>
    <w:p w14:paraId="09C5E518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九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、 评审方法及标准</w:t>
      </w:r>
    </w:p>
    <w:p w14:paraId="07F286A4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评审方法：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</w:t>
      </w:r>
      <w:r>
        <w:rPr>
          <w:rFonts w:hint="eastAsia" w:ascii="Times New Roman" w:hAnsi="Times New Roman" w:eastAsia="MS Mincho" w:cs="MS Mincho"/>
          <w:color w:val="0F1115"/>
          <w:kern w:val="0"/>
          <w:sz w:val="24"/>
          <w:szCs w:val="24"/>
        </w:rPr>
        <w:t>☑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最低价成交法</w:t>
      </w:r>
    </w:p>
    <w:p w14:paraId="7E23E88A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评审标准：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在资格性审查和符合性审查（即完全响应《采购需求清单》和《商务要求》）均通过的供应商中，按报价由低到高的顺序确定成交供应商。</w:t>
      </w:r>
    </w:p>
    <w:p w14:paraId="72B6C5C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十、 联系方式</w:t>
      </w:r>
    </w:p>
    <w:p w14:paraId="6EC6D99D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采 购 人：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湖南省教育考试院</w:t>
      </w:r>
    </w:p>
    <w:p w14:paraId="2214B7D1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地 址：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__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  <w:lang w:eastAsia="zh-CN"/>
        </w:rPr>
        <w:t>长沙市岳麓区潇湘中路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  <w:lang w:val="en-US" w:eastAsia="zh-CN"/>
        </w:rPr>
        <w:t>271号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______</w:t>
      </w:r>
    </w:p>
    <w:p w14:paraId="259FAECC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联 系 人：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___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  <w:lang w:eastAsia="zh-CN"/>
        </w:rPr>
        <w:t>欧阳老师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_____</w:t>
      </w:r>
    </w:p>
    <w:p w14:paraId="68CED42F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电 话：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 _____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  <w:lang w:val="en-US" w:eastAsia="zh-CN"/>
        </w:rPr>
        <w:t>88090361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___</w:t>
      </w:r>
    </w:p>
    <w:p w14:paraId="13C76A05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一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szCs w:val="24"/>
        </w:rPr>
        <w:t>、 附件</w:t>
      </w:r>
    </w:p>
    <w:p w14:paraId="362818A9">
      <w:pPr>
        <w:widowControl/>
        <w:shd w:val="clear" w:color="auto" w:fill="FFFFFF"/>
        <w:spacing w:line="520" w:lineRule="exact"/>
        <w:ind w:left="420" w:leftChars="200"/>
        <w:jc w:val="left"/>
        <w:rPr>
          <w:rFonts w:ascii="Times New Roman" w:hAnsi="Times New Roman"/>
        </w:rPr>
      </w:pP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《零星采购合同（</w:t>
      </w:r>
      <w:r>
        <w:rPr>
          <w:rFonts w:hint="eastAsia" w:ascii="Times New Roman" w:hAnsi="Times New Roman" w:eastAsia="宋体" w:cs="Segoe UI"/>
          <w:color w:val="0F1115"/>
          <w:kern w:val="0"/>
          <w:sz w:val="24"/>
          <w:szCs w:val="24"/>
        </w:rPr>
        <w:t>拟签订</w:t>
      </w:r>
      <w:r>
        <w:rPr>
          <w:rFonts w:ascii="Times New Roman" w:hAnsi="Times New Roman" w:eastAsia="宋体" w:cs="Segoe UI"/>
          <w:color w:val="0F1115"/>
          <w:kern w:val="0"/>
          <w:sz w:val="24"/>
          <w:szCs w:val="24"/>
        </w:rPr>
        <w:t>文本）》</w:t>
      </w:r>
    </w:p>
    <w:p w14:paraId="7F6C8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E61E3"/>
    <w:multiLevelType w:val="singleLevel"/>
    <w:tmpl w:val="B2BE61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548D5"/>
    <w:rsid w:val="22A54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2025-12-08T07:27:00Z</dcterms:created>
  <dc:creator>李鸿</dc:creator>
  <cp:lastModifiedBy>李鸿</cp:lastModifiedBy>
  <dcterms:modified xsi:type="dcterms:W3CDTF">2025-12-08T07:27:41Z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F4870AB2585F4A73A5F170271930E784_11</vt:lpwstr>
  </property>
  <property fmtid="{D5CDD505-2E9C-101B-9397-08002B2CF9AE}" pid="4" name="KSOTemplateDocerSaveRecord">
    <vt:lpwstr>eyJoZGlkIjoiOGM2NGZiZjk5NTM3NDI0YTJjZjE0YzU4M2Y5MTczNmQiLCJ1c2VySWQiOiI0ODU3NjY4NjkifQ==</vt:lpwstr>
  </property>
</Properties>
</file>