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overflowPunct w:val="0"/>
        <w:spacing w:line="500" w:lineRule="exact"/>
        <w:jc w:val="center"/>
        <w:rPr>
          <w:rFonts w:ascii="黑体" w:hAnsi="黑体" w:eastAsia="黑体" w:cs="黑体"/>
          <w:color w:val="auto"/>
          <w:spacing w:val="5"/>
          <w:sz w:val="36"/>
          <w:szCs w:val="36"/>
          <w:highlight w:val="none"/>
          <w:lang w:eastAsia="zh-CN"/>
        </w:rPr>
      </w:pPr>
    </w:p>
    <w:p>
      <w:pPr>
        <w:widowControl w:val="0"/>
        <w:kinsoku/>
        <w:overflowPunct w:val="0"/>
        <w:spacing w:line="500" w:lineRule="exact"/>
        <w:jc w:val="center"/>
        <w:rPr>
          <w:rFonts w:ascii="黑体" w:hAnsi="黑体" w:eastAsia="黑体" w:cs="黑体"/>
          <w:color w:val="auto"/>
          <w:spacing w:val="5"/>
          <w:sz w:val="36"/>
          <w:szCs w:val="36"/>
          <w:highlight w:val="none"/>
          <w:lang w:eastAsia="zh-CN"/>
        </w:rPr>
      </w:pPr>
      <w:r>
        <w:rPr>
          <w:rFonts w:hint="eastAsia" w:ascii="黑体" w:hAnsi="黑体" w:eastAsia="黑体" w:cs="黑体"/>
          <w:color w:val="auto"/>
          <w:spacing w:val="5"/>
          <w:sz w:val="36"/>
          <w:szCs w:val="36"/>
          <w:highlight w:val="none"/>
          <w:lang w:eastAsia="zh-CN"/>
        </w:rPr>
        <w:t>2024年湖南省中小学生信息素养提升实践活动</w:t>
      </w:r>
    </w:p>
    <w:p>
      <w:pPr>
        <w:widowControl w:val="0"/>
        <w:kinsoku/>
        <w:overflowPunct w:val="0"/>
        <w:spacing w:line="500" w:lineRule="exact"/>
        <w:jc w:val="center"/>
        <w:rPr>
          <w:rFonts w:ascii="黑体" w:hAnsi="黑体" w:eastAsia="黑体" w:cs="黑体"/>
          <w:color w:val="auto"/>
          <w:spacing w:val="5"/>
          <w:sz w:val="36"/>
          <w:szCs w:val="36"/>
          <w:highlight w:val="none"/>
          <w:lang w:eastAsia="zh-CN"/>
        </w:rPr>
      </w:pPr>
      <w:r>
        <w:rPr>
          <w:rFonts w:hint="eastAsia" w:ascii="黑体" w:hAnsi="黑体" w:eastAsia="黑体" w:cs="黑体"/>
          <w:color w:val="auto"/>
          <w:spacing w:val="5"/>
          <w:sz w:val="36"/>
          <w:szCs w:val="36"/>
          <w:highlight w:val="none"/>
          <w:lang w:eastAsia="zh-CN"/>
        </w:rPr>
        <w:t>智能机器人项目任务书</w:t>
      </w:r>
    </w:p>
    <w:p>
      <w:pPr>
        <w:widowControl w:val="0"/>
        <w:kinsoku/>
        <w:overflowPunct w:val="0"/>
        <w:spacing w:line="500" w:lineRule="exact"/>
        <w:jc w:val="center"/>
        <w:rPr>
          <w:rFonts w:ascii="Times New Roman" w:hAnsi="Times New Roman" w:eastAsia="楷体" w:cs="Times New Roman"/>
          <w:color w:val="auto"/>
          <w:spacing w:val="5"/>
          <w:sz w:val="36"/>
          <w:szCs w:val="36"/>
          <w:highlight w:val="none"/>
          <w:lang w:eastAsia="zh-CN"/>
        </w:rPr>
      </w:pPr>
      <w:r>
        <w:rPr>
          <w:rFonts w:ascii="Times New Roman" w:hAnsi="Times New Roman" w:eastAsia="楷体" w:cs="Times New Roman"/>
          <w:color w:val="auto"/>
          <w:spacing w:val="5"/>
          <w:sz w:val="36"/>
          <w:szCs w:val="36"/>
          <w:highlight w:val="none"/>
          <w:lang w:eastAsia="zh-CN"/>
        </w:rPr>
        <w:t>（B类 小学组）</w:t>
      </w:r>
    </w:p>
    <w:p>
      <w:pPr>
        <w:widowControl w:val="0"/>
        <w:kinsoku/>
        <w:overflowPunct w:val="0"/>
        <w:spacing w:line="500" w:lineRule="exact"/>
        <w:ind w:firstLine="560" w:firstLineChars="200"/>
        <w:rPr>
          <w:rFonts w:ascii="宋体" w:hAnsi="宋体" w:eastAsia="宋体" w:cs="宋体"/>
          <w:color w:val="auto"/>
          <w:spacing w:val="5"/>
          <w:sz w:val="27"/>
          <w:szCs w:val="27"/>
          <w:highlight w:val="none"/>
          <w:lang w:eastAsia="zh-CN"/>
        </w:rPr>
      </w:pP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一、项目概述</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本</w:t>
      </w:r>
      <w:r>
        <w:rPr>
          <w:rFonts w:hint="eastAsia"/>
          <w:color w:val="auto"/>
          <w:spacing w:val="5"/>
          <w:highlight w:val="none"/>
          <w:lang w:eastAsia="zh-CN"/>
        </w:rPr>
        <w:t>赛项</w:t>
      </w:r>
      <w:r>
        <w:rPr>
          <w:color w:val="auto"/>
          <w:spacing w:val="5"/>
          <w:highlight w:val="none"/>
          <w:lang w:eastAsia="zh-CN"/>
        </w:rPr>
        <w:t>中B类是指可编程控制的轮式或履带式行走机器人。</w:t>
      </w:r>
      <w:r>
        <w:rPr>
          <w:rFonts w:hint="eastAsia"/>
          <w:color w:val="auto"/>
          <w:spacing w:val="5"/>
          <w:highlight w:val="none"/>
          <w:lang w:eastAsia="zh-CN"/>
        </w:rPr>
        <w:t>参赛队员需要</w:t>
      </w:r>
      <w:r>
        <w:rPr>
          <w:color w:val="auto"/>
          <w:spacing w:val="5"/>
          <w:highlight w:val="none"/>
          <w:lang w:eastAsia="zh-CN"/>
        </w:rPr>
        <w:t>能够运用各种传感器包括视觉（大小、形状、颜色）识别、物理量（温度、光强、 距离）感知、位置（坐标、方向）</w:t>
      </w:r>
      <w:r>
        <w:rPr>
          <w:rFonts w:hint="eastAsia"/>
          <w:color w:val="auto"/>
          <w:spacing w:val="5"/>
          <w:highlight w:val="none"/>
          <w:lang w:eastAsia="zh-CN"/>
        </w:rPr>
        <w:t>设计机器人，</w:t>
      </w:r>
      <w:r>
        <w:rPr>
          <w:color w:val="auto"/>
          <w:spacing w:val="5"/>
          <w:highlight w:val="none"/>
          <w:lang w:eastAsia="zh-CN"/>
        </w:rPr>
        <w:t>让机器人具有对任务“物品”的分类、转运、码垛能力。</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二、场地及物品</w:t>
      </w:r>
    </w:p>
    <w:p>
      <w:pPr>
        <w:pStyle w:val="2"/>
        <w:widowControl w:val="0"/>
        <w:kinsoku/>
        <w:overflowPunct w:val="0"/>
        <w:spacing w:line="500" w:lineRule="exact"/>
        <w:ind w:firstLine="562" w:firstLineChars="200"/>
        <w:rPr>
          <w:b/>
          <w:bCs/>
          <w:color w:val="auto"/>
          <w:spacing w:val="5"/>
          <w:highlight w:val="none"/>
          <w:lang w:eastAsia="zh-CN"/>
        </w:rPr>
      </w:pPr>
      <w:r>
        <w:rPr>
          <w:b/>
          <w:bCs/>
          <w:color w:val="auto"/>
          <w:spacing w:val="5"/>
          <w:highlight w:val="none"/>
          <w:lang w:eastAsia="zh-CN"/>
        </w:rPr>
        <w:t>1. 场地</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展示场地为尺寸大小约225cm×180cm的喷绘地图，周围有高约20cm的围栏，各区域的分布如图1所示。外围边框线条为宽度约0.5cm的黑色线，其他类型区域的边框和线条为宽度2cm的黑色线，障碍区尺寸如图 4。</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整个展示场地被布置在一个高约50cm的操作台上。亦可将地图直接置于平整的地面作为展示场地。</w:t>
      </w:r>
    </w:p>
    <w:p>
      <w:pPr>
        <w:pStyle w:val="2"/>
        <w:widowControl w:val="0"/>
        <w:kinsoku/>
        <w:overflowPunct w:val="0"/>
        <w:spacing w:line="500" w:lineRule="exact"/>
        <w:ind w:firstLine="562" w:firstLineChars="200"/>
        <w:rPr>
          <w:b/>
          <w:bCs/>
          <w:color w:val="auto"/>
          <w:spacing w:val="5"/>
          <w:highlight w:val="none"/>
          <w:lang w:eastAsia="zh-CN"/>
        </w:rPr>
      </w:pPr>
      <w:r>
        <w:rPr>
          <w:b/>
          <w:bCs/>
          <w:color w:val="auto"/>
          <w:spacing w:val="5"/>
          <w:highlight w:val="none"/>
          <w:lang w:eastAsia="zh-CN"/>
        </w:rPr>
        <w:t>2. 物品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w:t>
      </w:r>
      <w:r>
        <w:rPr>
          <w:color w:val="auto"/>
          <w:spacing w:val="5"/>
          <w:highlight w:val="none"/>
          <w:lang w:eastAsia="zh-CN"/>
        </w:rPr>
        <w:t>任务“物品”</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任务中的“物品”</w:t>
      </w:r>
      <w:r>
        <w:rPr>
          <w:rFonts w:hint="eastAsia"/>
          <w:color w:val="auto"/>
          <w:spacing w:val="5"/>
          <w:highlight w:val="none"/>
          <w:lang w:eastAsia="zh-CN"/>
        </w:rPr>
        <w:t>为</w:t>
      </w:r>
      <w:r>
        <w:rPr>
          <w:color w:val="auto"/>
          <w:spacing w:val="5"/>
          <w:highlight w:val="none"/>
          <w:lang w:eastAsia="zh-CN"/>
        </w:rPr>
        <w:t>EVA</w:t>
      </w:r>
      <w:r>
        <w:rPr>
          <w:rFonts w:hint="eastAsia"/>
          <w:color w:val="auto"/>
          <w:spacing w:val="5"/>
          <w:highlight w:val="none"/>
          <w:lang w:eastAsia="zh-CN"/>
        </w:rPr>
        <w:t>材质，分</w:t>
      </w:r>
      <w:r>
        <w:rPr>
          <w:color w:val="auto"/>
          <w:spacing w:val="5"/>
          <w:highlight w:val="none"/>
          <w:lang w:eastAsia="zh-CN"/>
        </w:rPr>
        <w:t>别为棱长约4cm的6个立方体；直径约4cm、高约4cm的6个圆柱体；</w:t>
      </w:r>
      <w:r>
        <w:rPr>
          <w:rFonts w:hint="eastAsia"/>
          <w:color w:val="auto"/>
          <w:spacing w:val="5"/>
          <w:highlight w:val="none"/>
          <w:lang w:eastAsia="zh-CN"/>
        </w:rPr>
        <w:t>下</w:t>
      </w:r>
      <w:r>
        <w:rPr>
          <w:color w:val="auto"/>
          <w:spacing w:val="5"/>
          <w:highlight w:val="none"/>
          <w:lang w:eastAsia="zh-CN"/>
        </w:rPr>
        <w:t>底直径4cm、上底直径2cm，高约4cm的6个圆台</w:t>
      </w:r>
      <w:r>
        <w:rPr>
          <w:rFonts w:hint="eastAsia"/>
          <w:color w:val="auto"/>
          <w:spacing w:val="5"/>
          <w:highlight w:val="none"/>
          <w:lang w:eastAsia="zh-CN"/>
        </w:rPr>
        <w:t>，物品在放置区内（现场抽签摆放位置）</w:t>
      </w:r>
      <w:r>
        <w:rPr>
          <w:color w:val="auto"/>
          <w:spacing w:val="5"/>
          <w:highlight w:val="none"/>
          <w:lang w:eastAsia="zh-CN"/>
        </w:rPr>
        <w:t>。颜色分别是红色（参考色值为 C0 M100 Y100 K0）</w:t>
      </w:r>
      <w:r>
        <w:rPr>
          <w:rFonts w:hint="eastAsia"/>
          <w:color w:val="auto"/>
          <w:spacing w:val="5"/>
          <w:highlight w:val="none"/>
          <w:lang w:eastAsia="zh-CN"/>
        </w:rPr>
        <w:t>2个</w:t>
      </w:r>
      <w:r>
        <w:rPr>
          <w:color w:val="auto"/>
          <w:spacing w:val="5"/>
          <w:highlight w:val="none"/>
          <w:lang w:eastAsia="zh-CN"/>
        </w:rPr>
        <w:t>、 黄色（参考色值为 C0 M0 Y100 K0）</w:t>
      </w:r>
      <w:r>
        <w:rPr>
          <w:rFonts w:hint="eastAsia"/>
          <w:color w:val="auto"/>
          <w:spacing w:val="5"/>
          <w:highlight w:val="none"/>
          <w:lang w:eastAsia="zh-CN"/>
        </w:rPr>
        <w:t>2个</w:t>
      </w:r>
      <w:r>
        <w:rPr>
          <w:color w:val="auto"/>
          <w:spacing w:val="5"/>
          <w:highlight w:val="none"/>
          <w:lang w:eastAsia="zh-CN"/>
        </w:rPr>
        <w:t>、绿色（参考色值为 C80 M0</w:t>
      </w:r>
      <w:r>
        <w:rPr>
          <w:rFonts w:hint="eastAsia"/>
          <w:color w:val="auto"/>
          <w:spacing w:val="5"/>
          <w:highlight w:val="none"/>
          <w:lang w:eastAsia="zh-CN"/>
        </w:rPr>
        <w:t xml:space="preserve"> </w:t>
      </w:r>
      <w:r>
        <w:rPr>
          <w:color w:val="auto"/>
          <w:spacing w:val="5"/>
          <w:highlight w:val="none"/>
          <w:lang w:eastAsia="zh-CN"/>
        </w:rPr>
        <w:t>Y100 K0）</w:t>
      </w:r>
      <w:r>
        <w:rPr>
          <w:rFonts w:hint="eastAsia"/>
          <w:color w:val="auto"/>
          <w:spacing w:val="5"/>
          <w:highlight w:val="none"/>
          <w:lang w:eastAsia="zh-CN"/>
        </w:rPr>
        <w:t>2个</w:t>
      </w:r>
      <w:r>
        <w:rPr>
          <w:color w:val="auto"/>
          <w:spacing w:val="5"/>
          <w:highlight w:val="none"/>
          <w:lang w:eastAsia="zh-CN"/>
        </w:rPr>
        <w:t>，如图2。</w:t>
      </w:r>
    </w:p>
    <w:p>
      <w:pPr>
        <w:spacing w:line="360" w:lineRule="auto"/>
        <w:ind w:left="-4" w:leftChars="-204" w:hanging="424" w:hangingChars="202"/>
        <w:rPr>
          <w:color w:val="auto"/>
          <w:highlight w:val="none"/>
        </w:rPr>
      </w:pPr>
      <w:r>
        <w:rPr>
          <w:snapToGrid/>
          <w:color w:val="auto"/>
          <w:highlight w:val="none"/>
        </w:rPr>
        <w:drawing>
          <wp:inline distT="0" distB="0" distL="0" distR="0">
            <wp:extent cx="6060440" cy="5756910"/>
            <wp:effectExtent l="0" t="0" r="0" b="0"/>
            <wp:docPr id="1045816894" name="图片 2" descr="图示, 示意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16894" name="图片 2" descr="图示, 示意图&#10;&#10;描述已自动生成"/>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6081022" cy="5776265"/>
                    </a:xfrm>
                    <a:prstGeom prst="rect">
                      <a:avLst/>
                    </a:prstGeom>
                  </pic:spPr>
                </pic:pic>
              </a:graphicData>
            </a:graphic>
          </wp:inline>
        </w:drawing>
      </w:r>
    </w:p>
    <w:p>
      <w:pPr>
        <w:spacing w:line="360" w:lineRule="auto"/>
        <w:rPr>
          <w:rFonts w:ascii="仿宋" w:hAnsi="仿宋" w:eastAsia="仿宋" w:cs="仿宋"/>
          <w:color w:val="auto"/>
          <w:sz w:val="24"/>
          <w:szCs w:val="24"/>
          <w:highlight w:val="none"/>
        </w:rPr>
      </w:pPr>
    </w:p>
    <w:p>
      <w:pPr>
        <w:spacing w:line="360" w:lineRule="auto"/>
        <w:rPr>
          <w:color w:val="auto"/>
          <w:highlight w:val="none"/>
        </w:rPr>
      </w:pPr>
      <w:r>
        <w:rPr>
          <w:color w:val="auto"/>
          <w:highlight w:val="none"/>
        </w:rPr>
        <w:drawing>
          <wp:inline distT="0" distB="0" distL="114300" distR="114300">
            <wp:extent cx="5291455" cy="1167765"/>
            <wp:effectExtent l="0" t="0" r="4445" b="635"/>
            <wp:docPr id="1" name="图片 1" descr="图片包含 画,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包含 画, 游戏机&#10;&#10;描述已自动生成"/>
                    <pic:cNvPicPr>
                      <a:picLocks noChangeAspect="1"/>
                    </pic:cNvPicPr>
                  </pic:nvPicPr>
                  <pic:blipFill>
                    <a:blip r:embed="rId5"/>
                    <a:stretch>
                      <a:fillRect/>
                    </a:stretch>
                  </pic:blipFill>
                  <pic:spPr>
                    <a:xfrm>
                      <a:off x="0" y="0"/>
                      <a:ext cx="5291455" cy="1167765"/>
                    </a:xfrm>
                    <a:prstGeom prst="rect">
                      <a:avLst/>
                    </a:prstGeom>
                    <a:noFill/>
                    <a:ln>
                      <a:noFill/>
                    </a:ln>
                  </pic:spPr>
                </pic:pic>
              </a:graphicData>
            </a:graphic>
          </wp:inline>
        </w:drawing>
      </w:r>
    </w:p>
    <w:p>
      <w:pPr>
        <w:spacing w:line="360" w:lineRule="auto"/>
        <w:jc w:val="center"/>
        <w:rPr>
          <w:rFonts w:ascii="仿宋" w:hAnsi="仿宋" w:eastAsia="仿宋" w:cs="仿宋"/>
          <w:color w:val="auto"/>
          <w:spacing w:val="-9"/>
          <w:sz w:val="24"/>
          <w:szCs w:val="24"/>
          <w:highlight w:val="none"/>
          <w:lang w:eastAsia="zh-CN"/>
        </w:rPr>
      </w:pPr>
      <w:r>
        <w:rPr>
          <w:rFonts w:ascii="仿宋" w:hAnsi="仿宋" w:eastAsia="仿宋" w:cs="仿宋"/>
          <w:color w:val="auto"/>
          <w:spacing w:val="-9"/>
          <w:sz w:val="24"/>
          <w:szCs w:val="24"/>
          <w:highlight w:val="none"/>
          <w:lang w:eastAsia="zh-CN"/>
        </w:rPr>
        <w:t>图</w:t>
      </w:r>
      <w:r>
        <w:rPr>
          <w:rFonts w:ascii="仿宋" w:hAnsi="仿宋" w:eastAsia="仿宋" w:cs="仿宋"/>
          <w:color w:val="auto"/>
          <w:spacing w:val="-34"/>
          <w:sz w:val="24"/>
          <w:szCs w:val="24"/>
          <w:highlight w:val="none"/>
          <w:lang w:eastAsia="zh-CN"/>
        </w:rPr>
        <w:t xml:space="preserve"> </w:t>
      </w:r>
      <w:r>
        <w:rPr>
          <w:rFonts w:hint="eastAsia" w:ascii="仿宋" w:hAnsi="仿宋" w:eastAsia="仿宋" w:cs="仿宋"/>
          <w:color w:val="auto"/>
          <w:spacing w:val="-9"/>
          <w:sz w:val="24"/>
          <w:szCs w:val="24"/>
          <w:highlight w:val="none"/>
          <w:lang w:eastAsia="zh-CN"/>
        </w:rPr>
        <w:t>2</w:t>
      </w:r>
      <w:r>
        <w:rPr>
          <w:rFonts w:ascii="仿宋" w:hAnsi="仿宋" w:eastAsia="仿宋" w:cs="仿宋"/>
          <w:color w:val="auto"/>
          <w:spacing w:val="8"/>
          <w:sz w:val="24"/>
          <w:szCs w:val="24"/>
          <w:highlight w:val="none"/>
          <w:lang w:eastAsia="zh-CN"/>
        </w:rPr>
        <w:t xml:space="preserve">  </w:t>
      </w:r>
      <w:r>
        <w:rPr>
          <w:rFonts w:hint="eastAsia" w:ascii="仿宋" w:hAnsi="仿宋" w:eastAsia="仿宋" w:cs="仿宋"/>
          <w:color w:val="auto"/>
          <w:spacing w:val="-9"/>
          <w:sz w:val="24"/>
          <w:szCs w:val="24"/>
          <w:highlight w:val="none"/>
          <w:lang w:eastAsia="zh-CN"/>
        </w:rPr>
        <w:t>“物品示意图”</w:t>
      </w:r>
    </w:p>
    <w:p>
      <w:pPr>
        <w:spacing w:line="360" w:lineRule="auto"/>
        <w:rPr>
          <w:color w:val="auto"/>
          <w:highlight w:val="none"/>
          <w:lang w:eastAsia="zh-CN"/>
        </w:rPr>
      </w:pPr>
    </w:p>
    <w:p>
      <w:pPr>
        <w:spacing w:line="360" w:lineRule="auto"/>
        <w:rPr>
          <w:color w:val="auto"/>
          <w:sz w:val="2"/>
          <w:highlight w:val="none"/>
          <w:lang w:eastAsia="zh-CN"/>
        </w:rPr>
      </w:pPr>
      <w:r>
        <w:rPr>
          <w:color w:val="auto"/>
          <w:sz w:val="2"/>
          <w:szCs w:val="2"/>
          <w:highlight w:val="none"/>
          <w:lang w:eastAsia="zh-CN"/>
        </w:rPr>
        <w:br w:type="column"/>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（2）随机变换装置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随机变换装置是当机器人每次靠近其识别面时能够随机呈现出</w:t>
      </w:r>
      <w:r>
        <w:rPr>
          <w:color w:val="auto"/>
          <w:spacing w:val="5"/>
          <w:highlight w:val="none"/>
          <w:lang w:eastAsia="zh-CN"/>
        </w:rPr>
        <w:t>1</w:t>
      </w:r>
      <w:r>
        <w:rPr>
          <w:rFonts w:hint="eastAsia"/>
          <w:color w:val="auto"/>
          <w:spacing w:val="5"/>
          <w:highlight w:val="none"/>
          <w:lang w:eastAsia="zh-CN"/>
        </w:rPr>
        <w:t>种物品图案（如图3，共9种），随机变换装置的电子显示屏底长5cm，高7cm，电子显示屏底部离地高为</w:t>
      </w:r>
      <w:r>
        <w:rPr>
          <w:color w:val="auto"/>
          <w:spacing w:val="5"/>
          <w:highlight w:val="none"/>
          <w:lang w:eastAsia="zh-CN"/>
        </w:rPr>
        <w:t>7</w:t>
      </w:r>
      <w:r>
        <w:rPr>
          <w:rFonts w:hint="eastAsia"/>
          <w:color w:val="auto"/>
          <w:spacing w:val="5"/>
          <w:highlight w:val="none"/>
          <w:lang w:eastAsia="zh-CN"/>
        </w:rPr>
        <w:t>cm，固定在场地中的指定区域，机器人可以利用随机变换装置上的超声波传感器触发显示物品图案。</w:t>
      </w:r>
    </w:p>
    <w:p>
      <w:pPr>
        <w:pStyle w:val="2"/>
        <w:spacing w:line="360" w:lineRule="auto"/>
        <w:jc w:val="center"/>
        <w:rPr>
          <w:color w:val="FF0000"/>
          <w:spacing w:val="7"/>
          <w:highlight w:val="none"/>
        </w:rPr>
      </w:pPr>
      <w:r>
        <w:rPr>
          <w:rFonts w:ascii="等线" w:hAnsi="等线" w:eastAsia="等线"/>
          <w:color w:val="FF0000"/>
          <w:highlight w:val="none"/>
        </w:rPr>
        <mc:AlternateContent>
          <mc:Choice Requires="wps">
            <w:drawing>
              <wp:anchor distT="0" distB="0" distL="114300" distR="114300" simplePos="0" relativeHeight="251659264" behindDoc="0" locked="0" layoutInCell="1" allowOverlap="1">
                <wp:simplePos x="0" y="0"/>
                <wp:positionH relativeFrom="column">
                  <wp:posOffset>25400</wp:posOffset>
                </wp:positionH>
                <wp:positionV relativeFrom="paragraph">
                  <wp:posOffset>374650</wp:posOffset>
                </wp:positionV>
                <wp:extent cx="937260" cy="558800"/>
                <wp:effectExtent l="6350" t="6350" r="637540" b="6350"/>
                <wp:wrapNone/>
                <wp:docPr id="4" name="矩形标注 4"/>
                <wp:cNvGraphicFramePr/>
                <a:graphic xmlns:a="http://schemas.openxmlformats.org/drawingml/2006/main">
                  <a:graphicData uri="http://schemas.microsoft.com/office/word/2010/wordprocessingShape">
                    <wps:wsp>
                      <wps:cNvSpPr/>
                      <wps:spPr>
                        <a:xfrm>
                          <a:off x="0" y="0"/>
                          <a:ext cx="937260" cy="558800"/>
                        </a:xfrm>
                        <a:prstGeom prst="wedgeRectCallout">
                          <a:avLst>
                            <a:gd name="adj1" fmla="val 112533"/>
                            <a:gd name="adj2" fmla="val 1556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随机变换装置</w:t>
                            </w:r>
                          </w:p>
                          <w:p>
                            <w:pPr>
                              <w:jc w:val="center"/>
                              <w:rPr>
                                <w:color w:val="000000" w:themeColor="text1"/>
                                <w:sz w:val="18"/>
                                <w:szCs w:val="18"/>
                                <w:highlight w:val="none"/>
                                <w:lang w:eastAsia="zh-CN"/>
                                <w14:textFill>
                                  <w14:solidFill>
                                    <w14:schemeClr w14:val="tx1"/>
                                  </w14:solidFill>
                                </w14:textFill>
                              </w:rPr>
                            </w:pPr>
                            <w:r>
                              <w:rPr>
                                <w:rFonts w:hint="eastAsia" w:ascii="微软雅黑" w:hAnsi="微软雅黑" w:eastAsia="微软雅黑" w:cs="微软雅黑"/>
                                <w:color w:val="000000" w:themeColor="text1"/>
                                <w:sz w:val="18"/>
                                <w:szCs w:val="18"/>
                                <w:highlight w:val="none"/>
                                <w:lang w:eastAsia="zh-CN"/>
                                <w14:textFill>
                                  <w14:solidFill>
                                    <w14:schemeClr w14:val="tx1"/>
                                  </w14:solidFill>
                                </w14:textFill>
                              </w:rPr>
                              <w:t>识别面</w:t>
                            </w:r>
                          </w:p>
                          <w:p>
                            <w:pPr>
                              <w:rPr>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pt;margin-top:29.5pt;height:44pt;width:73.8pt;z-index:251659264;v-text-anchor:middle;mso-width-relative:page;mso-height-relative:page;" filled="f" stroked="t" coordsize="21600,21600" o:gfxdata="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DRyoyr1gAAAAgBAAAPAAAAAAAAAAEAIAAAACIAAABkcnMvZG93bnJldi54&#10;bWxQSwECFAAUAAAACACHTuJAZwh1S6cCAAA5BQAADgAAAAAAAAABACAAAAAlAQAAZHJzL2Uyb0Rv&#10;Yy54bWxQSwUGAAAAAAYABgBZAQAAPgYAAAAA&#10;" adj="35107,14163">
                <v:fill on="f" focussize="0,0"/>
                <v:stroke weight="1pt" color="#000000 [3213]" miterlimit="8" joinstyle="miter"/>
                <v:imagedata o:title=""/>
                <o:lock v:ext="edit" aspectratio="f"/>
                <v:textbox>
                  <w:txbxContent>
                    <w:p>
                      <w:pPr>
                        <w:jc w:val="center"/>
                        <w:rPr>
                          <w:rFonts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随机变换装置</w:t>
                      </w:r>
                    </w:p>
                    <w:p>
                      <w:pPr>
                        <w:jc w:val="center"/>
                        <w:rPr>
                          <w:color w:val="000000" w:themeColor="text1"/>
                          <w:sz w:val="18"/>
                          <w:szCs w:val="18"/>
                          <w:highlight w:val="none"/>
                          <w:lang w:eastAsia="zh-CN"/>
                          <w14:textFill>
                            <w14:solidFill>
                              <w14:schemeClr w14:val="tx1"/>
                            </w14:solidFill>
                          </w14:textFill>
                        </w:rPr>
                      </w:pPr>
                      <w:r>
                        <w:rPr>
                          <w:rFonts w:hint="eastAsia" w:ascii="微软雅黑" w:hAnsi="微软雅黑" w:eastAsia="微软雅黑" w:cs="微软雅黑"/>
                          <w:color w:val="000000" w:themeColor="text1"/>
                          <w:sz w:val="18"/>
                          <w:szCs w:val="18"/>
                          <w:highlight w:val="none"/>
                          <w:lang w:eastAsia="zh-CN"/>
                          <w14:textFill>
                            <w14:solidFill>
                              <w14:schemeClr w14:val="tx1"/>
                            </w14:solidFill>
                          </w14:textFill>
                        </w:rPr>
                        <w:t>识别面</w:t>
                      </w:r>
                    </w:p>
                    <w:p>
                      <w:pPr>
                        <w:rPr>
                          <w:lang w:eastAsia="zh-CN"/>
                        </w:rPr>
                      </w:pPr>
                    </w:p>
                  </w:txbxContent>
                </v:textbox>
              </v:shape>
            </w:pict>
          </mc:Fallback>
        </mc:AlternateContent>
      </w:r>
      <w:r>
        <w:rPr>
          <w:rFonts w:ascii="等线" w:hAnsi="等线" w:eastAsia="等线"/>
          <w:snapToGrid/>
          <w:color w:val="FF0000"/>
          <w:highlight w:val="none"/>
        </w:rPr>
        <w:drawing>
          <wp:inline distT="0" distB="0" distL="0" distR="0">
            <wp:extent cx="1914525" cy="1967865"/>
            <wp:effectExtent l="0" t="0" r="0" b="0"/>
            <wp:docPr id="1107087960" name="图片 1" descr="图片包含 徽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087960" name="图片 1" descr="图片包含 徽标&#10;&#10;描述已自动生成"/>
                    <pic:cNvPicPr>
                      <a:picLocks noChangeAspect="1"/>
                    </pic:cNvPicPr>
                  </pic:nvPicPr>
                  <pic:blipFill>
                    <a:blip r:embed="rId6" cstate="print">
                      <a:extLst>
                        <a:ext uri="{28A0092B-C50C-407E-A947-70E740481C1C}">
                          <a14:useLocalDpi xmlns:a14="http://schemas.microsoft.com/office/drawing/2010/main" val="0"/>
                        </a:ext>
                      </a:extLst>
                    </a:blip>
                    <a:srcRect l="14790" t="15539" r="35441" b="18255"/>
                    <a:stretch>
                      <a:fillRect/>
                    </a:stretch>
                  </pic:blipFill>
                  <pic:spPr>
                    <a:xfrm>
                      <a:off x="0" y="0"/>
                      <a:ext cx="1928622" cy="1982569"/>
                    </a:xfrm>
                    <a:prstGeom prst="rect">
                      <a:avLst/>
                    </a:prstGeom>
                    <a:ln>
                      <a:noFill/>
                    </a:ln>
                  </pic:spPr>
                </pic:pic>
              </a:graphicData>
            </a:graphic>
          </wp:inline>
        </w:drawing>
      </w:r>
      <w:r>
        <w:rPr>
          <w:color w:val="FF0000"/>
          <w:highlight w:val="none"/>
        </w:rPr>
        <w:drawing>
          <wp:inline distT="0" distB="0" distL="114300" distR="114300">
            <wp:extent cx="2489835" cy="1691640"/>
            <wp:effectExtent l="0" t="0" r="0" b="0"/>
            <wp:docPr id="1331099821" name="图片 1331099821" descr="图片包含 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99821" name="图片 1331099821" descr="图片包含 图标&#10;&#10;描述已自动生成"/>
                    <pic:cNvPicPr>
                      <a:picLocks noChangeAspect="1"/>
                    </pic:cNvPicPr>
                  </pic:nvPicPr>
                  <pic:blipFill>
                    <a:blip r:embed="rId7"/>
                    <a:srcRect l="47586"/>
                    <a:stretch>
                      <a:fillRect/>
                    </a:stretch>
                  </pic:blipFill>
                  <pic:spPr>
                    <a:xfrm>
                      <a:off x="0" y="0"/>
                      <a:ext cx="2490513" cy="1692000"/>
                    </a:xfrm>
                    <a:prstGeom prst="rect">
                      <a:avLst/>
                    </a:prstGeom>
                    <a:noFill/>
                    <a:ln>
                      <a:noFill/>
                    </a:ln>
                  </pic:spPr>
                </pic:pic>
              </a:graphicData>
            </a:graphic>
          </wp:inline>
        </w:drawing>
      </w:r>
      <w:bookmarkStart w:id="0" w:name="_GoBack"/>
      <w:bookmarkEnd w:id="0"/>
    </w:p>
    <w:p>
      <w:pPr>
        <w:pStyle w:val="2"/>
        <w:spacing w:line="360" w:lineRule="auto"/>
        <w:jc w:val="center"/>
        <w:rPr>
          <w:color w:val="auto"/>
          <w:spacing w:val="7"/>
          <w:highlight w:val="none"/>
        </w:rPr>
      </w:pPr>
    </w:p>
    <w:p>
      <w:pPr>
        <w:spacing w:line="360" w:lineRule="auto"/>
        <w:jc w:val="center"/>
        <w:rPr>
          <w:rFonts w:ascii="仿宋" w:hAnsi="仿宋" w:eastAsia="仿宋" w:cs="仿宋"/>
          <w:color w:val="auto"/>
          <w:sz w:val="24"/>
          <w:szCs w:val="24"/>
          <w:highlight w:val="none"/>
          <w:lang w:eastAsia="zh-CN"/>
        </w:rPr>
      </w:pPr>
      <w:r>
        <w:rPr>
          <w:rFonts w:ascii="仿宋" w:hAnsi="仿宋" w:eastAsia="仿宋" w:cs="仿宋"/>
          <w:color w:val="auto"/>
          <w:spacing w:val="-3"/>
          <w:sz w:val="24"/>
          <w:szCs w:val="24"/>
          <w:highlight w:val="none"/>
          <w:lang w:eastAsia="zh-CN"/>
        </w:rPr>
        <w:t>图</w:t>
      </w:r>
      <w:r>
        <w:rPr>
          <w:rFonts w:ascii="仿宋" w:hAnsi="仿宋" w:eastAsia="仿宋" w:cs="仿宋"/>
          <w:color w:val="auto"/>
          <w:spacing w:val="-33"/>
          <w:sz w:val="24"/>
          <w:szCs w:val="24"/>
          <w:highlight w:val="none"/>
          <w:lang w:eastAsia="zh-CN"/>
        </w:rPr>
        <w:t xml:space="preserve"> </w:t>
      </w:r>
      <w:r>
        <w:rPr>
          <w:rFonts w:ascii="仿宋" w:hAnsi="仿宋" w:eastAsia="仿宋" w:cs="仿宋"/>
          <w:color w:val="auto"/>
          <w:spacing w:val="-3"/>
          <w:sz w:val="24"/>
          <w:szCs w:val="24"/>
          <w:highlight w:val="none"/>
          <w:lang w:eastAsia="zh-CN"/>
        </w:rPr>
        <w:t>3  随机变换装置及其显示的“物品”示意图</w:t>
      </w:r>
    </w:p>
    <w:p>
      <w:pPr>
        <w:spacing w:line="360" w:lineRule="auto"/>
        <w:rPr>
          <w:color w:val="auto"/>
          <w:highlight w:val="none"/>
          <w:lang w:eastAsia="zh-CN"/>
        </w:rPr>
      </w:pP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(3)障碍物</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场地中放置两种类型的障碍物，</w:t>
      </w:r>
      <w:r>
        <w:rPr>
          <w:color w:val="auto"/>
          <w:spacing w:val="5"/>
          <w:highlight w:val="none"/>
          <w:lang w:eastAsia="zh-CN"/>
        </w:rPr>
        <w:t>PVC</w:t>
      </w:r>
      <w:r>
        <w:rPr>
          <w:rFonts w:hint="eastAsia"/>
          <w:color w:val="auto"/>
          <w:spacing w:val="5"/>
          <w:highlight w:val="none"/>
          <w:lang w:eastAsia="zh-CN"/>
        </w:rPr>
        <w:t>材质。障碍区A的高2cm，障碍区B的高1cm，长度和宽度分别如图4所示，障碍区边缘用黄色线条标识。</w:t>
      </w:r>
    </w:p>
    <w:p>
      <w:pPr>
        <w:spacing w:line="360" w:lineRule="auto"/>
        <w:rPr>
          <w:color w:val="auto"/>
          <w:highlight w:val="none"/>
          <w:lang w:eastAsia="zh-CN"/>
        </w:rPr>
      </w:pPr>
      <w:r>
        <w:rPr>
          <w:snapToGrid/>
          <w:color w:val="auto"/>
          <w:highlight w:val="none"/>
          <w:lang w:eastAsia="zh-CN"/>
        </w:rPr>
        <w:drawing>
          <wp:inline distT="0" distB="0" distL="0" distR="0">
            <wp:extent cx="4767580" cy="2423795"/>
            <wp:effectExtent l="0" t="0" r="13970" b="14605"/>
            <wp:docPr id="1590221576" name="图片 1"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221576" name="图片 1" descr="图片包含 图示&#10;&#10;描述已自动生成"/>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4767580" cy="2423795"/>
                    </a:xfrm>
                    <a:prstGeom prst="rect">
                      <a:avLst/>
                    </a:prstGeom>
                  </pic:spPr>
                </pic:pic>
              </a:graphicData>
            </a:graphic>
          </wp:inline>
        </w:drawing>
      </w:r>
    </w:p>
    <w:p>
      <w:pPr>
        <w:spacing w:line="360" w:lineRule="auto"/>
        <w:jc w:val="center"/>
        <w:rPr>
          <w:rFonts w:ascii="仿宋" w:hAnsi="仿宋" w:eastAsia="仿宋" w:cs="仿宋"/>
          <w:color w:val="auto"/>
          <w:sz w:val="24"/>
          <w:szCs w:val="24"/>
          <w:highlight w:val="none"/>
          <w:lang w:eastAsia="zh-CN"/>
        </w:rPr>
      </w:pPr>
      <w:r>
        <w:rPr>
          <w:rFonts w:ascii="仿宋" w:hAnsi="仿宋" w:eastAsia="仿宋" w:cs="仿宋"/>
          <w:color w:val="auto"/>
          <w:spacing w:val="-3"/>
          <w:sz w:val="24"/>
          <w:szCs w:val="24"/>
          <w:highlight w:val="none"/>
          <w:lang w:eastAsia="zh-CN"/>
        </w:rPr>
        <w:t>图</w:t>
      </w:r>
      <w:r>
        <w:rPr>
          <w:rFonts w:ascii="仿宋" w:hAnsi="仿宋" w:eastAsia="仿宋" w:cs="仿宋"/>
          <w:color w:val="auto"/>
          <w:spacing w:val="-47"/>
          <w:sz w:val="24"/>
          <w:szCs w:val="24"/>
          <w:highlight w:val="none"/>
          <w:lang w:eastAsia="zh-CN"/>
        </w:rPr>
        <w:t xml:space="preserve"> </w:t>
      </w:r>
      <w:r>
        <w:rPr>
          <w:rFonts w:ascii="仿宋" w:hAnsi="仿宋" w:eastAsia="仿宋" w:cs="仿宋"/>
          <w:color w:val="auto"/>
          <w:spacing w:val="-3"/>
          <w:sz w:val="24"/>
          <w:szCs w:val="24"/>
          <w:highlight w:val="none"/>
          <w:lang w:eastAsia="zh-CN"/>
        </w:rPr>
        <w:t>4  “障碍物”形状及尺寸示意图</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(4)“有效物品”及“无效物品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在物品放置区、转运区、码垛区三个区域内（未出边框线）的为“有效物品”，场地上其他区域的物品均为“无效物品”。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（5）机器人及物品有关压线及出线的界定：在完成任务过程中，机器人或物品的垂直投影不超过线的外部边缘即为有效任务，全部或部分垂直投影超出线即为无效任务。</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三、技术要求</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1.每支队伍允许使用1台机器人参加展示。</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2.利用套装机器人加以改造或自行设计并制作的轮式（或履带式）机器人均可参赛，机器人需要能够充分适应现场活动场地和物料以及环境因素。</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3.机器人在起返区内的长、宽、高上限分别为30cm×30cm×30cm，不得超过规定尺寸,重量不作限制要求；在俯视投影完全离开起返区之后其尺寸不再受限。</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4.允许使用遥控器启动机器人,但不允许使用遥控器控制和引导机器人的运行，机器人必须通过程序实现自主运行。</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5.在完成任务的过程中,机器人要具备对场地上的引导线、“物品”形状、颜色识别和对位置测量的能力。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6.在设计制作机器人时,应充分考虑诸如光源、各种电气设备、杂音、变化的光线和场地表面等环境因素对机器人运行所产生的干扰和影响， 使机器人能够适应现场的环境条件克服不利因素去完成任务。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7.如果需要更换结构件，机器人必须返回到各自的起返区，期间计时不停止。</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8.在完成任务期间，若机器人发生停滞不动超过30秒或冲出场地，参与展示的学生可以申请将机器人拿回起返区重启， 重启仅适用于上述情况发生之时，期间计时不停止并记录启动的次数，重启不能用于更换部件或进行维修。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9.完成基本任务和挑战任务的总时长为 5 分钟，机器人在规定时间内完成的任务有效，期间不能触碰机器人（机器人重启除外）否则视为本次展示结束。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10.机器人在起始区内启动后即开始计时，完成“物品” 码垛的机器人垂直投影完全进入结束区且静止，视为任务结束并计时停止，本次展示结束。</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四、任务说明</w:t>
      </w:r>
    </w:p>
    <w:p>
      <w:pPr>
        <w:pStyle w:val="2"/>
        <w:widowControl w:val="0"/>
        <w:kinsoku/>
        <w:overflowPunct w:val="0"/>
        <w:spacing w:line="500" w:lineRule="exact"/>
        <w:ind w:firstLine="560" w:firstLineChars="200"/>
        <w:rPr>
          <w:color w:val="auto"/>
          <w:spacing w:val="-11"/>
          <w:highlight w:val="none"/>
          <w:lang w:eastAsia="zh-CN"/>
        </w:rPr>
      </w:pPr>
      <w:r>
        <w:rPr>
          <w:rFonts w:hint="eastAsia"/>
          <w:color w:val="auto"/>
          <w:spacing w:val="5"/>
          <w:highlight w:val="none"/>
          <w:lang w:eastAsia="zh-CN"/>
        </w:rPr>
        <w:t>机器人完成“物品”码垛任务分为基本任务和挑战任务，在完成基</w:t>
      </w:r>
      <w:r>
        <w:rPr>
          <w:rFonts w:hint="eastAsia"/>
          <w:color w:val="auto"/>
          <w:spacing w:val="-11"/>
          <w:highlight w:val="none"/>
          <w:lang w:eastAsia="zh-CN"/>
        </w:rPr>
        <w:t>本任务的基础上（基本任务得分超过40分为完成任务），才可做挑战任务。</w:t>
      </w:r>
    </w:p>
    <w:p>
      <w:pPr>
        <w:widowControl w:val="0"/>
        <w:kinsoku/>
        <w:overflowPunct w:val="0"/>
        <w:spacing w:line="500" w:lineRule="exact"/>
        <w:ind w:firstLine="560" w:firstLineChars="200"/>
        <w:jc w:val="both"/>
        <w:rPr>
          <w:rFonts w:ascii="宋体" w:hAnsi="宋体" w:eastAsia="宋体" w:cs="宋体"/>
          <w:color w:val="auto"/>
          <w:spacing w:val="5"/>
          <w:sz w:val="27"/>
          <w:szCs w:val="27"/>
          <w:highlight w:val="none"/>
          <w:lang w:eastAsia="zh-CN"/>
        </w:rPr>
      </w:pPr>
      <w:r>
        <w:rPr>
          <w:rFonts w:hint="eastAsia" w:ascii="宋体" w:hAnsi="宋体" w:eastAsia="宋体" w:cs="宋体"/>
          <w:color w:val="auto"/>
          <w:spacing w:val="5"/>
          <w:sz w:val="27"/>
          <w:szCs w:val="27"/>
          <w:highlight w:val="none"/>
          <w:lang w:eastAsia="zh-CN"/>
        </w:rPr>
        <w:t>本任务书为基础任务书，重点参考了《2024年全国师生信息素养提升实践活动-智能机器人项目全国活动任务说明》，2024年湖南省信息素养提升实践活动现场活动时挑战任务的位置和得分要求均有可能变化。</w:t>
      </w:r>
    </w:p>
    <w:p>
      <w:pPr>
        <w:pStyle w:val="2"/>
        <w:widowControl w:val="0"/>
        <w:kinsoku/>
        <w:overflowPunct w:val="0"/>
        <w:spacing w:line="500" w:lineRule="exact"/>
        <w:ind w:firstLine="562" w:firstLineChars="200"/>
        <w:rPr>
          <w:b/>
          <w:bCs/>
          <w:color w:val="auto"/>
          <w:spacing w:val="5"/>
          <w:highlight w:val="none"/>
          <w:lang w:eastAsia="zh-CN"/>
        </w:rPr>
      </w:pPr>
      <w:r>
        <w:rPr>
          <w:rFonts w:hint="eastAsia"/>
          <w:b/>
          <w:bCs/>
          <w:color w:val="auto"/>
          <w:spacing w:val="5"/>
          <w:highlight w:val="none"/>
          <w:lang w:eastAsia="zh-CN"/>
        </w:rPr>
        <w:t>1．基本任务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（1）机器人从起返区出发，完全越过障碍区B（每一次出发都不能绕行），可得10分，多次越过不重复计分。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（2）机</w:t>
      </w:r>
      <w:r>
        <w:rPr>
          <w:rFonts w:hint="eastAsia"/>
          <w:color w:val="auto"/>
          <w:spacing w:val="-11"/>
          <w:highlight w:val="none"/>
          <w:lang w:eastAsia="zh-CN"/>
        </w:rPr>
        <w:t>器人行进至随机变换装置附近</w:t>
      </w:r>
      <w:r>
        <w:rPr>
          <w:rFonts w:hint="eastAsia"/>
          <w:color w:val="auto"/>
          <w:spacing w:val="5"/>
          <w:highlight w:val="none"/>
          <w:lang w:eastAsia="zh-CN"/>
        </w:rPr>
        <w:t>第</w:t>
      </w:r>
      <w:r>
        <w:rPr>
          <w:color w:val="auto"/>
          <w:spacing w:val="5"/>
          <w:highlight w:val="none"/>
          <w:lang w:eastAsia="zh-CN"/>
        </w:rPr>
        <w:t>1</w:t>
      </w:r>
      <w:r>
        <w:rPr>
          <w:rFonts w:hint="eastAsia"/>
          <w:color w:val="auto"/>
          <w:spacing w:val="5"/>
          <w:highlight w:val="none"/>
          <w:lang w:eastAsia="zh-CN"/>
        </w:rPr>
        <w:t>次</w:t>
      </w:r>
      <w:r>
        <w:rPr>
          <w:rFonts w:hint="eastAsia"/>
          <w:color w:val="auto"/>
          <w:spacing w:val="-11"/>
          <w:highlight w:val="none"/>
          <w:lang w:eastAsia="zh-CN"/>
        </w:rPr>
        <w:t>触发随机变换装置，可得10分。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（3）机器人按照随机变换装置显示的“物品”形状及颜色，将同类型的2个“物品”搬运至“物品”码垛区内（现场抽签摆放位置），“物品”的形状及颜色与抽签结果一致，每个可得10分，最多得20分。</w:t>
      </w:r>
    </w:p>
    <w:p>
      <w:pPr>
        <w:pStyle w:val="2"/>
        <w:widowControl w:val="0"/>
        <w:kinsoku/>
        <w:overflowPunct w:val="0"/>
        <w:spacing w:line="500" w:lineRule="exact"/>
        <w:ind w:firstLine="562" w:firstLineChars="200"/>
        <w:rPr>
          <w:b/>
          <w:bCs/>
          <w:color w:val="auto"/>
          <w:spacing w:val="5"/>
          <w:highlight w:val="none"/>
          <w:lang w:eastAsia="zh-CN"/>
        </w:rPr>
      </w:pPr>
      <w:r>
        <w:rPr>
          <w:rFonts w:hint="eastAsia"/>
          <w:b/>
          <w:bCs/>
          <w:color w:val="auto"/>
          <w:spacing w:val="5"/>
          <w:highlight w:val="none"/>
          <w:lang w:eastAsia="zh-CN"/>
        </w:rPr>
        <w:t>2. 挑战任务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（1）机器人再次从起返区出发，在任务途中完全越过障碍区A（每一次出发不能绕行），可得10分，多次越过不重复计分。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机器人第2次出发触发随机变换装置，根据随机变换装置显示的“物品”形状及颜色，将同类型的2个“物品”在挑战任务的码垛区（现场抽签摆放位置）完成两层堆叠码垛，堆叠码垛物品的部分垂直投影在码垛区的圆圈内，每个可得10分；堆叠码垛物品的全部垂直投影在码垛区的圆圈内，每个可得15分。</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五、赛制和赛程</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1.参赛要求：每支队伍不超过2人，每支队伍限报1名指导教师，以学校为单位报名。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2.参赛队员需自行携带机器人和笔记本电脑等工具进场比赛，场地内的道具全部以现场提供为准。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3.按照编号顺序依次进行展示和交流。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4.比赛为两轮，每轮5分钟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比赛前10分钟裁判开始检查参赛队员的器材是否符合规则要求，不符合规则要求的需到场外进行整改，待裁判允许后方可进场，比赛会按时开始。在检查完成后，由裁判长抽取场地中的变化量（放置区18个物品摆放顺序的变化量每轮调试阶段结束后才抽取，其他变化量均在调试之前抽取），一旦抽签之后，在整场比赛中，场地道具位置保持不变，该组别所有比赛场地保持一致。</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6.比赛分三个阶段：调试阶段，机器人封存阶段，竞赛阶段。</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7.编程与调试阶段：调试时间第一轮120分钟，第二轮60分钟，现场赛由项目裁判长根据现场情况予以调整。</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8.机器人封存阶段：在调试时间结束后，竞赛选手需关闭机器人电源，按裁判要求贴好自己的参赛队编号，上交机器人统一封存。参赛队编号由赛前统一抽签确定，参赛队编号为该参赛队比赛顺序的依据。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9.竞赛阶段：竞赛分两轮，每一轮参赛队员确认已准备好后，举手示意，裁判员发出开始指令后即可启动机器人。在裁判员发出启动信号前启动机器人将被警告或处罚。机器人一旦离开起始区，选手不能再碰触机器人或者启动装置。机器人从起始区出发后去完成任务，第一轮比赛结束后，参赛队员需要将机器人放回封存区，等待第二轮比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10.起始区是选手可以合规接触机器人的区域。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11.比赛结束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每轮比赛结束包括以下情况：</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（1）比赛时间到达5分钟。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（2）比赛时间未到5分钟，但参赛队不准备继续比赛或已完成所有任务，向裁判示意结束比赛。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12.重启以及处罚</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（1）机器人启动后，允许重启。</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选手在起始区外接触机器人或场地道具（含重启），记接触处罚分，每次-2分，最多-8分。选手受到接触处罚后机器人必须重新从起始区出发，接触之前得分有效，接触后，不可以改变场地上的道具状态，同一得分点不重复计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（3）“物品”错误分拣：待分拣物品的颜色、形状与之前抽取的位置不一致、非任务“物品”被移动或错误放置物品收纳桶内，每项每次-2分，最多-8分。</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六、评分标准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1.每轮得分=实际得分-罚分。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2.在竞赛中，每个参赛队有两轮比赛机会，最终成绩为两轮得分相加数。</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3.最终得分越高排名越靠前。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4.参赛队伍的得分不能为负分，最低为零分。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5.排名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某一组别的全部比赛结束后，按参赛队所有轮次总分进行排名。如果出现平分情况，按以下顺序破平：</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（1）总分相同的情况下，单轮成绩高者名次在前。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（2）单轮成绩依旧相同的情况下，罚分少者名次在前。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（3）罚分依旧相同的情况下，重启次数少者名次在前。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（4）重启次数依旧相同的情况下，单轮用时时间少者名次在前。</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 xml:space="preserve">七、犯规和取消比赛资格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1.参赛队员在未经裁判长允许的情况下私自与教练员或家长联系，将被取消比赛资格。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2.在竞赛或评审期间，所有队伍禁止以任何形式影响其他队伍的竞赛或评分，若经检举查证属实，将取消该队竞赛资格。 </w:t>
      </w:r>
    </w:p>
    <w:p>
      <w:pPr>
        <w:autoSpaceDE/>
        <w:autoSpaceDN/>
        <w:rPr>
          <w:rFonts w:ascii="宋体" w:hAnsi="宋体" w:eastAsia="宋体"/>
          <w:color w:val="auto"/>
          <w:highlight w:val="none"/>
          <w:lang w:eastAsia="zh-CN"/>
        </w:rPr>
      </w:pPr>
      <w:r>
        <w:rPr>
          <w:rFonts w:ascii="宋体" w:hAnsi="宋体" w:eastAsia="宋体"/>
          <w:color w:val="auto"/>
          <w:highlight w:val="none"/>
          <w:lang w:eastAsia="zh-CN"/>
        </w:rPr>
        <w:br w:type="page"/>
      </w:r>
    </w:p>
    <w:tbl>
      <w:tblPr>
        <w:tblStyle w:val="4"/>
        <w:tblW w:w="55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876"/>
        <w:gridCol w:w="859"/>
        <w:gridCol w:w="1186"/>
        <w:gridCol w:w="1606"/>
        <w:gridCol w:w="1259"/>
        <w:gridCol w:w="839"/>
        <w:gridCol w:w="671"/>
        <w:gridCol w:w="328"/>
        <w:gridCol w:w="1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5000" w:type="pct"/>
            <w:gridSpan w:val="10"/>
            <w:vAlign w:val="center"/>
          </w:tcPr>
          <w:p>
            <w:pPr>
              <w:jc w:val="center"/>
              <w:rPr>
                <w:rFonts w:cs="宋体" w:asciiTheme="minorEastAsia" w:hAnsiTheme="minorEastAsia" w:eastAsiaTheme="minorEastAsia"/>
                <w:b/>
                <w:bCs/>
                <w:color w:val="auto"/>
                <w:sz w:val="24"/>
                <w:highlight w:val="none"/>
                <w:lang w:bidi="ar"/>
              </w:rPr>
            </w:pPr>
            <w:r>
              <w:rPr>
                <w:rFonts w:cs="宋体" w:asciiTheme="minorEastAsia" w:hAnsiTheme="minorEastAsia" w:eastAsiaTheme="minorEastAsia"/>
                <w:b/>
                <w:bCs/>
                <w:color w:val="auto"/>
                <w:sz w:val="28"/>
                <w:szCs w:val="28"/>
                <w:highlight w:val="none"/>
                <w:lang w:eastAsia="zh-CN" w:bidi="ar"/>
              </w:rPr>
              <w:br w:type="page"/>
            </w:r>
            <w:r>
              <w:rPr>
                <w:rFonts w:hint="eastAsia" w:cs="宋体" w:asciiTheme="minorEastAsia" w:hAnsiTheme="minorEastAsia" w:eastAsiaTheme="minorEastAsia"/>
                <w:b/>
                <w:bCs/>
                <w:color w:val="auto"/>
                <w:sz w:val="28"/>
                <w:szCs w:val="28"/>
                <w:highlight w:val="none"/>
                <w:lang w:eastAsia="zh-CN" w:bidi="ar"/>
              </w:rPr>
              <w:t>B</w:t>
            </w:r>
            <w:r>
              <w:rPr>
                <w:rFonts w:hint="eastAsia" w:cs="宋体" w:asciiTheme="minorEastAsia" w:hAnsiTheme="minorEastAsia" w:eastAsiaTheme="minorEastAsia"/>
                <w:b/>
                <w:bCs/>
                <w:color w:val="auto"/>
                <w:sz w:val="32"/>
                <w:szCs w:val="32"/>
                <w:highlight w:val="none"/>
                <w:lang w:bidi="ar"/>
              </w:rPr>
              <w:t>类 小学组计分表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350"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序号</w:t>
            </w:r>
          </w:p>
        </w:tc>
        <w:tc>
          <w:tcPr>
            <w:tcW w:w="464"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项目任务</w:t>
            </w:r>
          </w:p>
        </w:tc>
        <w:tc>
          <w:tcPr>
            <w:tcW w:w="1937" w:type="pct"/>
            <w:gridSpan w:val="3"/>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评价指标分解</w:t>
            </w: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分值</w:t>
            </w:r>
          </w:p>
        </w:tc>
        <w:tc>
          <w:tcPr>
            <w:tcW w:w="801"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第一轮得分</w:t>
            </w:r>
          </w:p>
        </w:tc>
        <w:tc>
          <w:tcPr>
            <w:tcW w:w="777"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350"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1</w:t>
            </w:r>
          </w:p>
        </w:tc>
        <w:tc>
          <w:tcPr>
            <w:tcW w:w="464" w:type="pct"/>
            <w:vMerge w:val="restart"/>
            <w:vAlign w:val="center"/>
          </w:tcPr>
          <w:p>
            <w:pPr>
              <w:jc w:val="center"/>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基本任务</w:t>
            </w:r>
          </w:p>
        </w:tc>
        <w:tc>
          <w:tcPr>
            <w:tcW w:w="1937"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完全</w:t>
            </w:r>
            <w:r>
              <w:rPr>
                <w:rFonts w:cs="微软雅黑" w:asciiTheme="minorEastAsia" w:hAnsiTheme="minorEastAsia" w:eastAsiaTheme="minorEastAsia"/>
                <w:color w:val="auto"/>
                <w:sz w:val="24"/>
                <w:highlight w:val="none"/>
                <w:lang w:eastAsia="zh-CN" w:bidi="ar"/>
              </w:rPr>
              <w:t>越过障碍区B</w:t>
            </w:r>
          </w:p>
        </w:tc>
        <w:tc>
          <w:tcPr>
            <w:tcW w:w="668"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801" w:type="pct"/>
            <w:gridSpan w:val="2"/>
            <w:vAlign w:val="center"/>
          </w:tcPr>
          <w:p>
            <w:pPr>
              <w:jc w:val="center"/>
              <w:rPr>
                <w:rFonts w:cs="宋体" w:asciiTheme="minorEastAsia" w:hAnsiTheme="minorEastAsia" w:eastAsiaTheme="minorEastAsia"/>
                <w:color w:val="auto"/>
                <w:sz w:val="24"/>
                <w:highlight w:val="none"/>
                <w:lang w:bidi="ar"/>
              </w:rPr>
            </w:pPr>
          </w:p>
        </w:tc>
        <w:tc>
          <w:tcPr>
            <w:tcW w:w="777"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bidi="ar"/>
              </w:rPr>
            </w:pPr>
          </w:p>
        </w:tc>
        <w:tc>
          <w:tcPr>
            <w:tcW w:w="1937"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机器人行进至随机变换装置附近触发随机变换装置</w:t>
            </w:r>
          </w:p>
        </w:tc>
        <w:tc>
          <w:tcPr>
            <w:tcW w:w="668"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801" w:type="pct"/>
            <w:gridSpan w:val="2"/>
            <w:vAlign w:val="center"/>
          </w:tcPr>
          <w:p>
            <w:pPr>
              <w:jc w:val="center"/>
              <w:rPr>
                <w:rFonts w:cs="宋体" w:asciiTheme="minorEastAsia" w:hAnsiTheme="minorEastAsia" w:eastAsiaTheme="minorEastAsia"/>
                <w:color w:val="auto"/>
                <w:sz w:val="24"/>
                <w:highlight w:val="none"/>
                <w:lang w:bidi="ar"/>
              </w:rPr>
            </w:pPr>
          </w:p>
        </w:tc>
        <w:tc>
          <w:tcPr>
            <w:tcW w:w="777"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bidi="ar"/>
              </w:rPr>
            </w:pPr>
          </w:p>
        </w:tc>
        <w:tc>
          <w:tcPr>
            <w:tcW w:w="1937"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同类型的</w:t>
            </w:r>
            <w:r>
              <w:rPr>
                <w:rFonts w:cs="微软雅黑" w:asciiTheme="minorEastAsia" w:hAnsiTheme="minorEastAsia" w:eastAsiaTheme="minorEastAsia"/>
                <w:color w:val="auto"/>
                <w:sz w:val="24"/>
                <w:highlight w:val="none"/>
                <w:lang w:eastAsia="zh-CN" w:bidi="ar"/>
              </w:rPr>
              <w:t xml:space="preserve"> 2 </w:t>
            </w:r>
            <w:r>
              <w:rPr>
                <w:rFonts w:hint="eastAsia" w:cs="微软雅黑" w:asciiTheme="minorEastAsia" w:hAnsiTheme="minorEastAsia" w:eastAsiaTheme="minorEastAsia"/>
                <w:color w:val="auto"/>
                <w:sz w:val="24"/>
                <w:highlight w:val="none"/>
                <w:lang w:eastAsia="zh-CN" w:bidi="ar"/>
              </w:rPr>
              <w:t>个</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物品</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搬运至</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物品</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码垛区内</w:t>
            </w:r>
          </w:p>
        </w:tc>
        <w:tc>
          <w:tcPr>
            <w:tcW w:w="668"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w:t>
            </w:r>
            <w:r>
              <w:rPr>
                <w:rFonts w:cs="宋体" w:asciiTheme="minorEastAsia" w:hAnsiTheme="minorEastAsia" w:eastAsiaTheme="minorEastAsia"/>
                <w:color w:val="auto"/>
                <w:sz w:val="24"/>
                <w:highlight w:val="none"/>
                <w:lang w:eastAsia="zh-CN" w:bidi="ar"/>
              </w:rPr>
              <w:t>0/</w:t>
            </w:r>
            <w:r>
              <w:rPr>
                <w:rFonts w:hint="eastAsia" w:cs="宋体" w:asciiTheme="minorEastAsia" w:hAnsiTheme="minorEastAsia" w:eastAsiaTheme="minorEastAsia"/>
                <w:color w:val="auto"/>
                <w:sz w:val="24"/>
                <w:highlight w:val="none"/>
                <w:lang w:eastAsia="zh-CN" w:bidi="ar"/>
              </w:rPr>
              <w:t>2</w:t>
            </w:r>
            <w:r>
              <w:rPr>
                <w:rFonts w:cs="宋体" w:asciiTheme="minorEastAsia" w:hAnsiTheme="minorEastAsia" w:eastAsiaTheme="minorEastAsia"/>
                <w:color w:val="auto"/>
                <w:sz w:val="24"/>
                <w:highlight w:val="none"/>
                <w:lang w:eastAsia="zh-CN" w:bidi="ar"/>
              </w:rPr>
              <w:t>0</w:t>
            </w:r>
          </w:p>
        </w:tc>
        <w:tc>
          <w:tcPr>
            <w:tcW w:w="801"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777"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1937"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2个</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物品</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码垛至现场抽取的对应形状所在位置</w:t>
            </w:r>
          </w:p>
        </w:tc>
        <w:tc>
          <w:tcPr>
            <w:tcW w:w="668"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10/2</w:t>
            </w:r>
            <w:r>
              <w:rPr>
                <w:rFonts w:cs="宋体" w:asciiTheme="minorEastAsia" w:hAnsiTheme="minorEastAsia" w:eastAsiaTheme="minorEastAsia"/>
                <w:color w:val="auto"/>
                <w:sz w:val="24"/>
                <w:highlight w:val="none"/>
                <w:lang w:eastAsia="zh-CN" w:bidi="ar"/>
              </w:rPr>
              <w:t>0</w:t>
            </w:r>
          </w:p>
        </w:tc>
        <w:tc>
          <w:tcPr>
            <w:tcW w:w="801"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777"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56"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比赛</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用时</w:t>
            </w:r>
          </w:p>
        </w:tc>
        <w:tc>
          <w:tcPr>
            <w:tcW w:w="629"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p>
        </w:tc>
        <w:tc>
          <w:tcPr>
            <w:tcW w:w="850"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合计得分</w:t>
            </w:r>
          </w:p>
        </w:tc>
        <w:tc>
          <w:tcPr>
            <w:tcW w:w="801" w:type="pct"/>
            <w:gridSpan w:val="2"/>
            <w:vAlign w:val="center"/>
          </w:tcPr>
          <w:p>
            <w:pPr>
              <w:jc w:val="center"/>
              <w:rPr>
                <w:rFonts w:cs="宋体" w:asciiTheme="minorEastAsia" w:hAnsiTheme="minorEastAsia" w:eastAsiaTheme="minorEastAsia"/>
                <w:color w:val="auto"/>
                <w:sz w:val="24"/>
                <w:highlight w:val="none"/>
                <w:lang w:bidi="ar"/>
              </w:rPr>
            </w:pPr>
          </w:p>
        </w:tc>
        <w:tc>
          <w:tcPr>
            <w:tcW w:w="777"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350"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2</w:t>
            </w:r>
          </w:p>
        </w:tc>
        <w:tc>
          <w:tcPr>
            <w:tcW w:w="464"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挑战任务</w:t>
            </w:r>
          </w:p>
        </w:tc>
        <w:tc>
          <w:tcPr>
            <w:tcW w:w="1937"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完全越过障碍区A</w:t>
            </w:r>
          </w:p>
        </w:tc>
        <w:tc>
          <w:tcPr>
            <w:tcW w:w="668"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801" w:type="pct"/>
            <w:gridSpan w:val="2"/>
            <w:vAlign w:val="center"/>
          </w:tcPr>
          <w:p>
            <w:pPr>
              <w:jc w:val="center"/>
              <w:rPr>
                <w:rFonts w:cs="宋体" w:asciiTheme="minorEastAsia" w:hAnsiTheme="minorEastAsia" w:eastAsiaTheme="minorEastAsia"/>
                <w:color w:val="auto"/>
                <w:sz w:val="24"/>
                <w:highlight w:val="none"/>
                <w:lang w:bidi="ar"/>
              </w:rPr>
            </w:pPr>
          </w:p>
        </w:tc>
        <w:tc>
          <w:tcPr>
            <w:tcW w:w="777"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37"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bidi="ar"/>
              </w:rPr>
            </w:pPr>
          </w:p>
        </w:tc>
        <w:tc>
          <w:tcPr>
            <w:tcW w:w="464"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1937"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堆叠码垛物品的部分垂直投影在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的圆圈内，每个可得10分；堆叠码垛物品的全部垂直投影在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的圆圈内，每个可得15分；</w:t>
            </w:r>
          </w:p>
        </w:tc>
        <w:tc>
          <w:tcPr>
            <w:tcW w:w="668"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10-30</w:t>
            </w:r>
          </w:p>
        </w:tc>
        <w:tc>
          <w:tcPr>
            <w:tcW w:w="801"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777"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56"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比赛</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用时</w:t>
            </w:r>
          </w:p>
        </w:tc>
        <w:tc>
          <w:tcPr>
            <w:tcW w:w="629"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p>
        </w:tc>
        <w:tc>
          <w:tcPr>
            <w:tcW w:w="850" w:type="pct"/>
            <w:vAlign w:val="center"/>
          </w:tcPr>
          <w:p>
            <w:pP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合计得分</w:t>
            </w:r>
          </w:p>
        </w:tc>
        <w:tc>
          <w:tcPr>
            <w:tcW w:w="801" w:type="pct"/>
            <w:gridSpan w:val="2"/>
            <w:vAlign w:val="center"/>
          </w:tcPr>
          <w:p>
            <w:pPr>
              <w:jc w:val="center"/>
              <w:rPr>
                <w:rFonts w:cs="宋体" w:asciiTheme="minorEastAsia" w:hAnsiTheme="minorEastAsia" w:eastAsiaTheme="minorEastAsia"/>
                <w:color w:val="auto"/>
                <w:sz w:val="24"/>
                <w:highlight w:val="none"/>
                <w:lang w:bidi="ar"/>
              </w:rPr>
            </w:pPr>
          </w:p>
        </w:tc>
        <w:tc>
          <w:tcPr>
            <w:tcW w:w="777"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3</w:t>
            </w:r>
          </w:p>
        </w:tc>
        <w:tc>
          <w:tcPr>
            <w:tcW w:w="464"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1937" w:type="pct"/>
            <w:gridSpan w:val="3"/>
            <w:vMerge w:val="restart"/>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选手在起始区外接触机器人或场地道具（含重启），记接触处罚分，每次-2分，最多-8分</w:t>
            </w: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违规次数</w:t>
            </w:r>
          </w:p>
        </w:tc>
        <w:tc>
          <w:tcPr>
            <w:tcW w:w="445" w:type="pct"/>
            <w:vAlign w:val="center"/>
          </w:tcPr>
          <w:p>
            <w:pPr>
              <w:jc w:val="center"/>
              <w:rPr>
                <w:rFonts w:cs="宋体" w:asciiTheme="minorEastAsia" w:hAnsiTheme="minorEastAsia" w:eastAsiaTheme="minorEastAsia"/>
                <w:color w:val="auto"/>
                <w:sz w:val="24"/>
                <w:highlight w:val="none"/>
                <w:lang w:bidi="ar"/>
              </w:rPr>
            </w:pPr>
          </w:p>
        </w:tc>
        <w:tc>
          <w:tcPr>
            <w:tcW w:w="530" w:type="pct"/>
            <w:gridSpan w:val="2"/>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602" w:type="pct"/>
            <w:vMerge w:val="restart"/>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bidi="ar"/>
              </w:rPr>
            </w:pPr>
          </w:p>
        </w:tc>
        <w:tc>
          <w:tcPr>
            <w:tcW w:w="464"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1937" w:type="pct"/>
            <w:gridSpan w:val="3"/>
            <w:vMerge w:val="continue"/>
            <w:vAlign w:val="center"/>
          </w:tcPr>
          <w:p>
            <w:pPr>
              <w:jc w:val="both"/>
              <w:rPr>
                <w:rFonts w:cs="微软雅黑" w:asciiTheme="minorEastAsia" w:hAnsiTheme="minorEastAsia" w:eastAsiaTheme="minorEastAsia"/>
                <w:color w:val="auto"/>
                <w:sz w:val="24"/>
                <w:highlight w:val="none"/>
                <w:lang w:eastAsia="zh-CN" w:bidi="ar"/>
              </w:rPr>
            </w:pP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微软雅黑"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eastAsia="zh-CN" w:bidi="ar"/>
              </w:rPr>
              <w:t>错误分拣</w:t>
            </w:r>
          </w:p>
        </w:tc>
        <w:tc>
          <w:tcPr>
            <w:tcW w:w="445" w:type="pct"/>
            <w:vAlign w:val="center"/>
          </w:tcPr>
          <w:p>
            <w:pPr>
              <w:jc w:val="center"/>
              <w:rPr>
                <w:rFonts w:cs="宋体" w:asciiTheme="minorEastAsia" w:hAnsiTheme="minorEastAsia" w:eastAsiaTheme="minorEastAsia"/>
                <w:color w:val="auto"/>
                <w:sz w:val="24"/>
                <w:highlight w:val="none"/>
                <w:lang w:bidi="ar"/>
              </w:rPr>
            </w:pPr>
          </w:p>
        </w:tc>
        <w:tc>
          <w:tcPr>
            <w:tcW w:w="530" w:type="pct"/>
            <w:gridSpan w:val="2"/>
            <w:vMerge w:val="continue"/>
            <w:vAlign w:val="center"/>
          </w:tcPr>
          <w:p>
            <w:pPr>
              <w:jc w:val="center"/>
              <w:rPr>
                <w:rFonts w:cs="微软雅黑" w:asciiTheme="minorEastAsia" w:hAnsiTheme="minorEastAsia" w:eastAsiaTheme="minorEastAsia"/>
                <w:color w:val="auto"/>
                <w:sz w:val="24"/>
                <w:highlight w:val="none"/>
                <w:lang w:bidi="ar"/>
              </w:rPr>
            </w:pPr>
          </w:p>
        </w:tc>
        <w:tc>
          <w:tcPr>
            <w:tcW w:w="602" w:type="pct"/>
            <w:vMerge w:val="continue"/>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bidi="ar"/>
              </w:rPr>
            </w:pPr>
          </w:p>
        </w:tc>
        <w:tc>
          <w:tcPr>
            <w:tcW w:w="1937" w:type="pct"/>
            <w:gridSpan w:val="3"/>
            <w:vMerge w:val="restart"/>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“物品”错误分拣，每项每次</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2分，最多-8分</w:t>
            </w: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违规次数</w:t>
            </w:r>
          </w:p>
        </w:tc>
        <w:tc>
          <w:tcPr>
            <w:tcW w:w="445" w:type="pct"/>
            <w:vAlign w:val="center"/>
          </w:tcPr>
          <w:p>
            <w:pPr>
              <w:jc w:val="center"/>
              <w:rPr>
                <w:rFonts w:cs="宋体" w:asciiTheme="minorEastAsia" w:hAnsiTheme="minorEastAsia" w:eastAsiaTheme="minorEastAsia"/>
                <w:color w:val="auto"/>
                <w:sz w:val="24"/>
                <w:highlight w:val="none"/>
                <w:lang w:bidi="ar"/>
              </w:rPr>
            </w:pPr>
          </w:p>
        </w:tc>
        <w:tc>
          <w:tcPr>
            <w:tcW w:w="530" w:type="pct"/>
            <w:gridSpan w:val="2"/>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602" w:type="pct"/>
            <w:vMerge w:val="restart"/>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350" w:type="pct"/>
            <w:vMerge w:val="continue"/>
            <w:vAlign w:val="center"/>
          </w:tcPr>
          <w:p>
            <w:pPr>
              <w:jc w:val="center"/>
              <w:rPr>
                <w:rFonts w:cs="宋体" w:asciiTheme="minorEastAsia" w:hAnsiTheme="minorEastAsia" w:eastAsiaTheme="minorEastAsia"/>
                <w:color w:val="auto"/>
                <w:sz w:val="24"/>
                <w:highlight w:val="none"/>
                <w:lang w:bidi="ar"/>
              </w:rPr>
            </w:pPr>
          </w:p>
        </w:tc>
        <w:tc>
          <w:tcPr>
            <w:tcW w:w="464" w:type="pct"/>
            <w:vMerge w:val="continue"/>
            <w:vAlign w:val="center"/>
          </w:tcPr>
          <w:p>
            <w:pPr>
              <w:jc w:val="center"/>
              <w:rPr>
                <w:rFonts w:cs="宋体" w:asciiTheme="minorEastAsia" w:hAnsiTheme="minorEastAsia" w:eastAsiaTheme="minorEastAsia"/>
                <w:color w:val="auto"/>
                <w:sz w:val="24"/>
                <w:highlight w:val="none"/>
                <w:lang w:bidi="ar"/>
              </w:rPr>
            </w:pPr>
          </w:p>
        </w:tc>
        <w:tc>
          <w:tcPr>
            <w:tcW w:w="1937" w:type="pct"/>
            <w:gridSpan w:val="3"/>
            <w:vMerge w:val="continue"/>
            <w:vAlign w:val="center"/>
          </w:tcPr>
          <w:p>
            <w:pPr>
              <w:jc w:val="center"/>
              <w:rPr>
                <w:rFonts w:cs="微软雅黑" w:asciiTheme="minorEastAsia" w:hAnsiTheme="minorEastAsia" w:eastAsiaTheme="minorEastAsia"/>
                <w:color w:val="auto"/>
                <w:sz w:val="24"/>
                <w:highlight w:val="none"/>
                <w:lang w:eastAsia="zh-CN" w:bidi="ar"/>
              </w:rPr>
            </w:pP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w:t>
            </w:r>
            <w:r>
              <w:rPr>
                <w:rFonts w:hint="eastAsia" w:cs="微软雅黑" w:asciiTheme="minorEastAsia" w:hAnsiTheme="minorEastAsia" w:eastAsiaTheme="minorEastAsia"/>
                <w:color w:val="auto"/>
                <w:sz w:val="24"/>
                <w:highlight w:val="none"/>
                <w:lang w:eastAsia="zh-CN" w:bidi="ar"/>
              </w:rPr>
              <w:t>二</w:t>
            </w:r>
            <w:r>
              <w:rPr>
                <w:rFonts w:hint="eastAsia" w:cs="微软雅黑" w:asciiTheme="minorEastAsia" w:hAnsiTheme="minorEastAsia" w:eastAsiaTheme="minorEastAsia"/>
                <w:color w:val="auto"/>
                <w:sz w:val="24"/>
                <w:highlight w:val="none"/>
                <w:lang w:bidi="ar"/>
              </w:rPr>
              <w:t>轮</w:t>
            </w:r>
          </w:p>
          <w:p>
            <w:pPr>
              <w:jc w:val="center"/>
              <w:rPr>
                <w:rFonts w:cs="微软雅黑"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eastAsia="zh-CN" w:bidi="ar"/>
              </w:rPr>
              <w:t>错误分拣</w:t>
            </w:r>
          </w:p>
        </w:tc>
        <w:tc>
          <w:tcPr>
            <w:tcW w:w="445" w:type="pct"/>
            <w:vAlign w:val="center"/>
          </w:tcPr>
          <w:p>
            <w:pPr>
              <w:jc w:val="center"/>
              <w:rPr>
                <w:rFonts w:cs="宋体" w:asciiTheme="minorEastAsia" w:hAnsiTheme="minorEastAsia" w:eastAsiaTheme="minorEastAsia"/>
                <w:color w:val="auto"/>
                <w:sz w:val="24"/>
                <w:highlight w:val="none"/>
                <w:lang w:bidi="ar"/>
              </w:rPr>
            </w:pPr>
          </w:p>
        </w:tc>
        <w:tc>
          <w:tcPr>
            <w:tcW w:w="530" w:type="pct"/>
            <w:gridSpan w:val="2"/>
            <w:vMerge w:val="continue"/>
            <w:vAlign w:val="center"/>
          </w:tcPr>
          <w:p>
            <w:pPr>
              <w:jc w:val="center"/>
              <w:rPr>
                <w:rFonts w:cs="微软雅黑" w:asciiTheme="minorEastAsia" w:hAnsiTheme="minorEastAsia" w:eastAsiaTheme="minorEastAsia"/>
                <w:color w:val="auto"/>
                <w:sz w:val="24"/>
                <w:highlight w:val="none"/>
                <w:lang w:bidi="ar"/>
              </w:rPr>
            </w:pPr>
          </w:p>
        </w:tc>
        <w:tc>
          <w:tcPr>
            <w:tcW w:w="602" w:type="pct"/>
            <w:vMerge w:val="continue"/>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jc w:val="center"/>
        </w:trPr>
        <w:tc>
          <w:tcPr>
            <w:tcW w:w="815"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两轮总得分</w:t>
            </w:r>
          </w:p>
        </w:tc>
        <w:tc>
          <w:tcPr>
            <w:tcW w:w="1937" w:type="pct"/>
            <w:gridSpan w:val="3"/>
            <w:vAlign w:val="center"/>
          </w:tcPr>
          <w:p>
            <w:pPr>
              <w:jc w:val="center"/>
              <w:rPr>
                <w:rFonts w:cs="宋体" w:asciiTheme="minorEastAsia" w:hAnsiTheme="minorEastAsia" w:eastAsiaTheme="minorEastAsia"/>
                <w:color w:val="auto"/>
                <w:sz w:val="24"/>
                <w:highlight w:val="none"/>
                <w:lang w:bidi="ar"/>
              </w:rPr>
            </w:pPr>
          </w:p>
        </w:tc>
        <w:tc>
          <w:tcPr>
            <w:tcW w:w="668"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总用时</w:t>
            </w:r>
          </w:p>
        </w:tc>
        <w:tc>
          <w:tcPr>
            <w:tcW w:w="1578" w:type="pct"/>
            <w:gridSpan w:val="4"/>
            <w:vAlign w:val="center"/>
          </w:tcPr>
          <w:p>
            <w:pPr>
              <w:jc w:val="center"/>
              <w:rPr>
                <w:rFonts w:cs="宋体" w:asciiTheme="minorEastAsia" w:hAnsiTheme="minorEastAsia" w:eastAsiaTheme="minorEastAsia"/>
                <w:color w:val="auto"/>
                <w:sz w:val="24"/>
                <w:highlight w:val="none"/>
                <w:lang w:bidi="ar"/>
              </w:rPr>
            </w:pPr>
          </w:p>
        </w:tc>
      </w:tr>
    </w:tbl>
    <w:p>
      <w:pPr>
        <w:rPr>
          <w:rFonts w:ascii="宋体" w:hAnsi="宋体" w:eastAsia="宋体" w:cs="宋体"/>
          <w:color w:val="auto"/>
          <w:sz w:val="28"/>
          <w:szCs w:val="28"/>
          <w:highlight w:val="none"/>
          <w:u w:val="thick"/>
          <w:lang w:eastAsia="zh-CN" w:bidi="ar"/>
        </w:rPr>
      </w:pPr>
      <w:r>
        <w:rPr>
          <w:rFonts w:hint="eastAsia" w:ascii="宋体" w:hAnsi="宋体" w:eastAsia="宋体" w:cs="宋体"/>
          <w:color w:val="auto"/>
          <w:sz w:val="28"/>
          <w:szCs w:val="28"/>
          <w:highlight w:val="none"/>
          <w:lang w:eastAsia="zh-CN" w:bidi="ar"/>
        </w:rPr>
        <w:t>选手签字：</w:t>
      </w:r>
      <w:r>
        <w:rPr>
          <w:rFonts w:ascii="宋体" w:hAnsi="宋体" w:eastAsia="宋体" w:cs="宋体"/>
          <w:color w:val="auto"/>
          <w:sz w:val="28"/>
          <w:szCs w:val="28"/>
          <w:highlight w:val="none"/>
          <w:u w:val="thick"/>
          <w:lang w:eastAsia="zh-CN" w:bidi="ar"/>
        </w:rPr>
        <w:t xml:space="preserve">            </w:t>
      </w:r>
      <w:r>
        <w:rPr>
          <w:rFonts w:ascii="宋体" w:hAnsi="宋体" w:eastAsia="宋体" w:cs="宋体"/>
          <w:color w:val="auto"/>
          <w:sz w:val="28"/>
          <w:szCs w:val="28"/>
          <w:highlight w:val="none"/>
          <w:lang w:eastAsia="zh-CN" w:bidi="ar"/>
        </w:rPr>
        <w:t xml:space="preserve">  </w:t>
      </w:r>
      <w:r>
        <w:rPr>
          <w:rFonts w:ascii="宋体" w:hAnsi="宋体" w:eastAsia="宋体" w:cs="宋体"/>
          <w:color w:val="auto"/>
          <w:sz w:val="28"/>
          <w:szCs w:val="28"/>
          <w:highlight w:val="none"/>
          <w:u w:val="thick"/>
          <w:lang w:eastAsia="zh-CN" w:bidi="ar"/>
        </w:rPr>
        <w:t xml:space="preserve">            </w:t>
      </w:r>
      <w:r>
        <w:rPr>
          <w:rFonts w:ascii="宋体" w:hAnsi="宋体" w:eastAsia="宋体" w:cs="宋体"/>
          <w:color w:val="auto"/>
          <w:sz w:val="28"/>
          <w:szCs w:val="28"/>
          <w:highlight w:val="none"/>
          <w:lang w:eastAsia="zh-CN" w:bidi="ar"/>
        </w:rPr>
        <w:t xml:space="preserve">  </w:t>
      </w:r>
    </w:p>
    <w:p>
      <w:pPr>
        <w:rPr>
          <w:highlight w:val="none"/>
          <w:lang w:eastAsia="zh-CN"/>
        </w:rPr>
      </w:pPr>
      <w:r>
        <w:rPr>
          <w:rFonts w:hint="eastAsia" w:ascii="宋体" w:hAnsi="宋体" w:eastAsia="宋体" w:cs="宋体"/>
          <w:color w:val="auto"/>
          <w:sz w:val="28"/>
          <w:szCs w:val="28"/>
          <w:highlight w:val="none"/>
          <w:lang w:eastAsia="zh-CN" w:bidi="ar"/>
        </w:rPr>
        <w:t>裁判签字：</w:t>
      </w:r>
      <w:r>
        <w:rPr>
          <w:rFonts w:ascii="宋体" w:hAnsi="宋体" w:eastAsia="宋体" w:cs="宋体"/>
          <w:color w:val="auto"/>
          <w:sz w:val="28"/>
          <w:szCs w:val="28"/>
          <w:highlight w:val="none"/>
          <w:u w:val="thick"/>
          <w:lang w:eastAsia="zh-CN" w:bidi="ar"/>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jU3NjhjOWM3NTJiNWViMTRiOGRlMDE1MTBjNGIifQ=="/>
  </w:docVars>
  <w:rsids>
    <w:rsidRoot w:val="00A45DC1"/>
    <w:rsid w:val="002B0C8D"/>
    <w:rsid w:val="0040566F"/>
    <w:rsid w:val="006E3437"/>
    <w:rsid w:val="00794C3D"/>
    <w:rsid w:val="009247BE"/>
    <w:rsid w:val="00A22E91"/>
    <w:rsid w:val="00A45DC1"/>
    <w:rsid w:val="00C12E94"/>
    <w:rsid w:val="00CC1274"/>
    <w:rsid w:val="00CE45F1"/>
    <w:rsid w:val="00CF6C7F"/>
    <w:rsid w:val="00E73C90"/>
    <w:rsid w:val="00EA59D6"/>
    <w:rsid w:val="194730BF"/>
    <w:rsid w:val="2E960DD4"/>
    <w:rsid w:val="3D4363AC"/>
    <w:rsid w:val="5B047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5">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link w:val="6"/>
    <w:autoRedefine/>
    <w:semiHidden/>
    <w:qFormat/>
    <w:uiPriority w:val="0"/>
    <w:rPr>
      <w:rFonts w:ascii="宋体" w:hAnsi="宋体" w:eastAsia="宋体" w:cs="宋体"/>
      <w:sz w:val="27"/>
      <w:szCs w:val="27"/>
    </w:rPr>
  </w:style>
  <w:style w:type="table" w:styleId="4">
    <w:name w:val="Table Grid"/>
    <w:basedOn w:val="3"/>
    <w:autoRedefine/>
    <w:qFormat/>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
    <w:name w:val="正文文本 字符"/>
    <w:basedOn w:val="5"/>
    <w:link w:val="2"/>
    <w:autoRedefine/>
    <w:semiHidden/>
    <w:qFormat/>
    <w:uiPriority w:val="0"/>
    <w:rPr>
      <w:rFonts w:ascii="宋体" w:hAnsi="宋体" w:eastAsia="宋体" w:cs="宋体"/>
      <w:snapToGrid w:val="0"/>
      <w:color w:val="000000"/>
      <w:kern w:val="0"/>
      <w:sz w:val="27"/>
      <w:szCs w:val="27"/>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595</Words>
  <Characters>3395</Characters>
  <Lines>28</Lines>
  <Paragraphs>7</Paragraphs>
  <TotalTime>41</TotalTime>
  <ScaleCrop>false</ScaleCrop>
  <LinksUpToDate>false</LinksUpToDate>
  <CharactersWithSpaces>3983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2024-01-15T01:10:00Z</dcterms:created>
  <dc:creator>d f jianfan</dc:creator>
  <cp:lastModifiedBy>江  芳</cp:lastModifiedBy>
  <dcterms:modified xsi:type="dcterms:W3CDTF">2024-01-22T01:46:33Z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AAAC9EE5B616426082C81E3662573B8C_12</vt:lpwstr>
  </property>
</Properties>
</file>