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仿宋" w:hAnsi="仿宋" w:eastAsia="仿宋" w:cs="仿宋"/>
          <w:bCs/>
          <w:kern w:val="32"/>
          <w:sz w:val="30"/>
          <w:szCs w:val="30"/>
        </w:rPr>
      </w:pPr>
      <w:r>
        <w:rPr>
          <w:rFonts w:hint="eastAsia" w:ascii="仿宋" w:hAnsi="仿宋" w:eastAsia="仿宋" w:cs="仿宋"/>
          <w:bCs/>
          <w:kern w:val="32"/>
          <w:sz w:val="30"/>
          <w:szCs w:val="30"/>
        </w:rPr>
        <w:t>附件</w:t>
      </w:r>
      <w:r>
        <w:rPr>
          <w:rFonts w:hint="eastAsia" w:ascii="仿宋" w:hAnsi="仿宋" w:eastAsia="仿宋" w:cs="仿宋"/>
          <w:bCs/>
          <w:kern w:val="3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Cs/>
          <w:kern w:val="32"/>
          <w:sz w:val="30"/>
          <w:szCs w:val="30"/>
        </w:rPr>
        <w:t>：</w:t>
      </w:r>
    </w:p>
    <w:p>
      <w:pPr>
        <w:spacing w:line="560" w:lineRule="exact"/>
        <w:jc w:val="center"/>
        <w:rPr>
          <w:rFonts w:ascii="仿宋" w:hAnsi="仿宋" w:eastAsia="仿宋"/>
          <w:b/>
          <w:kern w:val="32"/>
          <w:sz w:val="30"/>
          <w:szCs w:val="30"/>
        </w:rPr>
      </w:pPr>
      <w:bookmarkStart w:id="0" w:name="_GoBack"/>
      <w:r>
        <w:rPr>
          <w:rFonts w:hint="eastAsia" w:ascii="仿宋" w:hAnsi="仿宋" w:eastAsia="仿宋"/>
          <w:b/>
          <w:kern w:val="32"/>
          <w:sz w:val="30"/>
          <w:szCs w:val="30"/>
        </w:rPr>
        <w:t>湖南邮电职业技术学院地理位置图及主要交通路线</w:t>
      </w:r>
      <w:bookmarkEnd w:id="0"/>
    </w:p>
    <w:p>
      <w:pPr>
        <w:spacing w:line="56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bCs/>
          <w:kern w:val="32"/>
          <w:sz w:val="30"/>
          <w:szCs w:val="30"/>
        </w:rPr>
        <w:t>一、地理位置图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kern w:val="32"/>
          <w:sz w:val="32"/>
          <w:szCs w:val="32"/>
        </w:rPr>
      </w:pPr>
      <w:r>
        <w:rPr>
          <w:rFonts w:hint="eastAsia" w:ascii="仿宋" w:hAnsi="仿宋" w:eastAsia="仿宋" w:cs="仿宋"/>
          <w:bCs/>
          <w:kern w:val="3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1412240</wp:posOffset>
            </wp:positionH>
            <wp:positionV relativeFrom="page">
              <wp:posOffset>2138680</wp:posOffset>
            </wp:positionV>
            <wp:extent cx="5149215" cy="4033520"/>
            <wp:effectExtent l="0" t="0" r="13335" b="5080"/>
            <wp:wrapSquare wrapText="bothSides"/>
            <wp:docPr id="1" name="图片 2" descr="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地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9215" cy="4033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二、主要交通路线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1.从长沙火车站乘公交101路到古堆山站下车步行300米即到；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2.从长沙火车南站（高铁站）乘公交148路到古堆山站下车步行300米或160至碧沙湖站下步行500米即到；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3.从长沙汽车东站乘公交360路到古堆山站下车步行300即到；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4.从长沙汽车南站乘公交123路至黄土岭站，转乘908路到古堆山站下车步行300米即到；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ascii="仿宋" w:hAnsi="仿宋" w:eastAsia="仿宋"/>
          <w:kern w:val="32"/>
          <w:sz w:val="28"/>
          <w:szCs w:val="28"/>
        </w:rPr>
      </w:pPr>
      <w:r>
        <w:rPr>
          <w:rFonts w:hint="eastAsia" w:ascii="仿宋" w:hAnsi="仿宋" w:eastAsia="仿宋"/>
          <w:kern w:val="32"/>
          <w:sz w:val="28"/>
          <w:szCs w:val="28"/>
        </w:rPr>
        <w:t>5.从长沙汽车西站乘公交68路到桃园村站，转乘917路到古堆山站下车步行300米即到；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00" w:firstLineChars="200"/>
        <w:jc w:val="left"/>
        <w:textAlignment w:val="auto"/>
        <w:outlineLvl w:val="9"/>
        <w:rPr>
          <w:rFonts w:hint="eastAsia"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28"/>
          <w:szCs w:val="28"/>
        </w:rPr>
        <w:t>6.从长沙汽车北站乘公交159路到雅礼中学站，转乘601路到古堆山站下车步行300米即到。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57FA8"/>
    <w:rsid w:val="5C757F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2017-04-28T10:16:00Z</dcterms:created>
  <dc:creator>Administrator</dc:creator>
  <cp:lastModifiedBy>Administrator</cp:lastModifiedBy>
  <dcterms:modified xsi:type="dcterms:W3CDTF">2017-04-28T10:17:20Z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